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版本号：SZT2024-SN-XC-ZC-FW-088720250407001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渼陂湖旅游区QJ16-4-56-2号宗地考古发掘委托第三方技术服务(二次)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SZT2024-SN-XC-ZC-FW-0887</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渼陂湖旅游区QJ16-4-56-2号宗地考古发掘委托第三方技术服务(二次)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SZT2024-SN-XC-ZC-FW-0887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渼陂湖旅游区QJ16-4-56-2号宗地考古发掘委托第三方技术服务(二次)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西安市文物保护考古研究院渼陂湖旅游区QJ16-4-56-2号宗地考古发掘委托第三方技术服务,按照国家文物局颁布的《田野考古操作规程》及相关法律法规进行发掘。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1、法定代表人授权：法定代表人授权代表参加投标的，须出具法定代表人授权书及授权代表身份证（法定代表人直接参加投标的，须出具法定代表人身份证）； 供应商需在项目电子化交易系统中按要求上传相应证明文件并进行电子签章。</w:t>
      </w:r>
    </w:p>
    <w:p>
      <w:pPr>
        <w:pStyle w:val="null3"/>
      </w:pPr>
      <w:r>
        <w:rPr>
          <w:rFonts w:ascii="仿宋_GB2312" w:hAnsi="仿宋_GB2312" w:cs="仿宋_GB2312" w:eastAsia="仿宋_GB2312"/>
        </w:rPr>
        <w:t>2、考古发掘资质证书：供应商应具有中华人民共和国考古发掘资质证书； 供应商需在项目电子化交易系统中按要求上传相应证明文件并进行电子签章。</w:t>
      </w:r>
    </w:p>
    <w:p>
      <w:pPr>
        <w:pStyle w:val="null3"/>
      </w:pPr>
      <w:r>
        <w:rPr>
          <w:rFonts w:ascii="仿宋_GB2312" w:hAnsi="仿宋_GB2312" w:cs="仿宋_GB2312" w:eastAsia="仿宋_GB2312"/>
        </w:rPr>
        <w:t>3、项目负责人要求：项目负责人应具有国家文物局颁发的考古发掘领队资格证或考古发掘项目负责人资质证书； 供应商需在项目电子化交易系统中按要求上传相应证明文件并进行电子签章。</w:t>
      </w:r>
    </w:p>
    <w:p>
      <w:pPr>
        <w:pStyle w:val="null3"/>
      </w:pPr>
      <w:r>
        <w:rPr>
          <w:rFonts w:ascii="仿宋_GB2312" w:hAnsi="仿宋_GB2312" w:cs="仿宋_GB2312" w:eastAsia="仿宋_GB2312"/>
        </w:rPr>
        <w:t>4、不接受联合体相关要求：本项目不接受联合体投标。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西安市文物保护考古研究院经办张老师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029-85258795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杨艳、沈肖楠、史肖霞、单博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按照国家文物局颁布的《田野考古操作规程》及相关法律法规进行发掘及验收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渼陂湖旅游区QJ16-4-56-2号宗地考古发掘委托第三方技术服务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1,144,000.00</w:t>
      </w:r>
    </w:p>
    <w:p>
      <w:pPr>
        <w:pStyle w:val="null3"/>
      </w:pPr>
      <w:r>
        <w:rPr>
          <w:rFonts w:ascii="仿宋_GB2312" w:hAnsi="仿宋_GB2312" w:cs="仿宋_GB2312" w:eastAsia="仿宋_GB2312"/>
        </w:rPr>
        <w:t>采购包最高限价（元）: 1,144,000.00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渼陂湖旅游区QJ16-4-56-2号宗地考古发掘委托第三方技术服务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标的名称：渼陂湖旅游区QJ16-4-56-2号宗地考古发掘委托第三方技术服务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20"/>
              <w:ind w:firstLine="422"/>
              <w:jc w:val="both"/>
            </w:pPr>
            <w:r>
              <w:rPr>
                <w:rFonts w:ascii="仿宋_GB2312" w:hAnsi="仿宋_GB2312" w:cs="仿宋_GB2312" w:eastAsia="仿宋_GB2312"/>
                <w:sz w:val="20"/>
                <w:b/>
              </w:rPr>
              <w:t>1、按照国家文物局颁布的《田野考古操作规程》及相关法律法规进行发掘。</w:t>
            </w:r>
          </w:p>
          <w:p>
            <w:pPr>
              <w:pStyle w:val="null3"/>
              <w:spacing w:before="120"/>
              <w:ind w:firstLine="422"/>
              <w:jc w:val="both"/>
            </w:pPr>
            <w:r>
              <w:rPr>
                <w:rFonts w:ascii="仿宋_GB2312" w:hAnsi="仿宋_GB2312" w:cs="仿宋_GB2312" w:eastAsia="仿宋_GB2312"/>
                <w:sz w:val="20"/>
                <w:b/>
              </w:rPr>
              <w:t>2、发掘工作：</w:t>
            </w:r>
          </w:p>
          <w:p>
            <w:pPr>
              <w:pStyle w:val="null3"/>
              <w:spacing w:before="120"/>
              <w:ind w:firstLine="420"/>
              <w:jc w:val="both"/>
            </w:pPr>
            <w:r>
              <w:rPr>
                <w:rFonts w:ascii="仿宋_GB2312" w:hAnsi="仿宋_GB2312" w:cs="仿宋_GB2312" w:eastAsia="仿宋_GB2312"/>
                <w:sz w:val="20"/>
              </w:rPr>
              <w:t>1)古遗址（建筑基址、古道路、古沟渠、古窑址、灰坑、古井等）类：采用布置探方/探沟作业方法。布置探方/探沟规格视现场情况而定。</w:t>
            </w:r>
          </w:p>
          <w:p>
            <w:pPr>
              <w:pStyle w:val="null3"/>
              <w:spacing w:before="120"/>
              <w:ind w:firstLine="420"/>
              <w:jc w:val="both"/>
            </w:pPr>
            <w:r>
              <w:rPr>
                <w:rFonts w:ascii="仿宋_GB2312" w:hAnsi="仿宋_GB2312" w:cs="仿宋_GB2312" w:eastAsia="仿宋_GB2312"/>
                <w:sz w:val="20"/>
              </w:rPr>
              <w:t>2）墓葬类：从上至下人工开挖，先发掘墓道后发掘墓室。墓室采取大揭顶厚，逐层下挖清理。以上发掘内容均需挖至生土层。</w:t>
            </w:r>
          </w:p>
          <w:p>
            <w:pPr>
              <w:pStyle w:val="null3"/>
              <w:spacing w:before="120"/>
              <w:ind w:firstLine="420"/>
              <w:jc w:val="both"/>
            </w:pPr>
            <w:r>
              <w:rPr>
                <w:rFonts w:ascii="仿宋_GB2312" w:hAnsi="仿宋_GB2312" w:cs="仿宋_GB2312" w:eastAsia="仿宋_GB2312"/>
                <w:sz w:val="20"/>
              </w:rPr>
              <w:t>3）资料录入：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spacing w:before="120"/>
              <w:ind w:firstLine="420"/>
              <w:jc w:val="both"/>
            </w:pPr>
            <w:r>
              <w:rPr>
                <w:rFonts w:ascii="仿宋_GB2312" w:hAnsi="仿宋_GB2312" w:cs="仿宋_GB2312" w:eastAsia="仿宋_GB2312"/>
                <w:sz w:val="20"/>
              </w:rPr>
              <w:t>4）发掘资料拾取：资料拾取过程中应由考古领队、技术工人全程参与，指定专人对发掘物资、出土文物和记录资料应及时清点、核实并移交至招标人。</w:t>
            </w:r>
          </w:p>
          <w:p>
            <w:pPr>
              <w:pStyle w:val="null3"/>
              <w:spacing w:before="120"/>
              <w:ind w:firstLine="422"/>
              <w:jc w:val="both"/>
            </w:pPr>
            <w:r>
              <w:rPr>
                <w:rFonts w:ascii="仿宋_GB2312" w:hAnsi="仿宋_GB2312" w:cs="仿宋_GB2312" w:eastAsia="仿宋_GB2312"/>
                <w:sz w:val="20"/>
                <w:b/>
              </w:rPr>
              <w:t>3、发掘资料整理</w:t>
            </w:r>
          </w:p>
          <w:p>
            <w:pPr>
              <w:pStyle w:val="null3"/>
              <w:spacing w:before="120"/>
              <w:ind w:firstLine="420"/>
              <w:jc w:val="both"/>
            </w:pPr>
            <w:r>
              <w:rPr>
                <w:rFonts w:ascii="仿宋_GB2312" w:hAnsi="仿宋_GB2312" w:cs="仿宋_GB2312" w:eastAsia="仿宋_GB2312"/>
                <w:sz w:val="20"/>
              </w:rPr>
              <w:t>1）按照规定的技术要求对考古资料进行整理并建立资料库。</w:t>
            </w:r>
          </w:p>
          <w:p>
            <w:pPr>
              <w:pStyle w:val="null3"/>
              <w:spacing w:before="120"/>
              <w:ind w:firstLine="420"/>
              <w:jc w:val="both"/>
            </w:pPr>
            <w:r>
              <w:rPr>
                <w:rFonts w:ascii="仿宋_GB2312" w:hAnsi="仿宋_GB2312" w:cs="仿宋_GB2312" w:eastAsia="仿宋_GB2312"/>
                <w:sz w:val="20"/>
              </w:rPr>
              <w:t>2）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spacing w:before="120"/>
              <w:ind w:firstLine="420"/>
              <w:jc w:val="both"/>
            </w:pPr>
            <w:r>
              <w:rPr>
                <w:rFonts w:ascii="仿宋_GB2312" w:hAnsi="仿宋_GB2312" w:cs="仿宋_GB2312" w:eastAsia="仿宋_GB2312"/>
                <w:sz w:val="20"/>
              </w:rPr>
              <w:t>3）建立资料库与电子数据库：按照遗迹单位统一汇总所有田野发掘记录和资料整理记录，形成完整的资料档案；电子数据库基于田野工作的各项文字、影像和测绘记录，符合数据库的要求。</w:t>
            </w:r>
          </w:p>
          <w:p>
            <w:pPr>
              <w:pStyle w:val="null3"/>
              <w:spacing w:before="120"/>
              <w:ind w:firstLine="422"/>
              <w:jc w:val="both"/>
            </w:pPr>
            <w:r>
              <w:rPr>
                <w:rFonts w:ascii="仿宋_GB2312" w:hAnsi="仿宋_GB2312" w:cs="仿宋_GB2312" w:eastAsia="仿宋_GB2312"/>
                <w:sz w:val="20"/>
                <w:b/>
              </w:rPr>
              <w:t>4、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spacing w:before="120"/>
              <w:ind w:firstLine="422"/>
              <w:jc w:val="both"/>
            </w:pPr>
            <w:r>
              <w:rPr>
                <w:rFonts w:ascii="仿宋_GB2312" w:hAnsi="仿宋_GB2312" w:cs="仿宋_GB2312" w:eastAsia="仿宋_GB2312"/>
                <w:sz w:val="20"/>
                <w:b/>
              </w:rPr>
              <w:t>5、采购内容：考古田野发掘，具体的墓葬信息详见“附件 分项报价表”的内容。</w:t>
            </w:r>
          </w:p>
          <w:p>
            <w:pPr>
              <w:pStyle w:val="null3"/>
              <w:spacing w:before="120"/>
              <w:ind w:firstLine="422"/>
              <w:jc w:val="both"/>
            </w:pPr>
            <w:r>
              <w:rPr>
                <w:rFonts w:ascii="仿宋_GB2312" w:hAnsi="仿宋_GB2312" w:cs="仿宋_GB2312" w:eastAsia="仿宋_GB2312"/>
                <w:sz w:val="20"/>
                <w:b/>
              </w:rPr>
              <w:t>6、采购预算及限价：</w:t>
            </w:r>
          </w:p>
          <w:p>
            <w:pPr>
              <w:pStyle w:val="null3"/>
              <w:spacing w:before="120"/>
              <w:ind w:firstLine="420"/>
              <w:jc w:val="both"/>
            </w:pPr>
            <w:r>
              <w:rPr>
                <w:rFonts w:ascii="仿宋_GB2312" w:hAnsi="仿宋_GB2312" w:cs="仿宋_GB2312" w:eastAsia="仿宋_GB2312"/>
                <w:sz w:val="20"/>
              </w:rPr>
              <w:t>6.1项目采购预算：</w:t>
            </w:r>
            <w:r>
              <w:rPr>
                <w:rFonts w:ascii="仿宋_GB2312" w:hAnsi="仿宋_GB2312" w:cs="仿宋_GB2312" w:eastAsia="仿宋_GB2312"/>
                <w:sz w:val="20"/>
              </w:rPr>
              <w:t>1,144,000.00</w:t>
            </w:r>
            <w:r>
              <w:rPr>
                <w:rFonts w:ascii="仿宋_GB2312" w:hAnsi="仿宋_GB2312" w:cs="仿宋_GB2312" w:eastAsia="仿宋_GB2312"/>
                <w:sz w:val="20"/>
              </w:rPr>
              <w:t>元</w:t>
            </w:r>
          </w:p>
          <w:p>
            <w:pPr>
              <w:pStyle w:val="null3"/>
              <w:spacing w:before="120"/>
              <w:ind w:firstLine="420"/>
              <w:jc w:val="both"/>
            </w:pPr>
            <w:r>
              <w:rPr>
                <w:rFonts w:ascii="仿宋_GB2312" w:hAnsi="仿宋_GB2312" w:cs="仿宋_GB2312" w:eastAsia="仿宋_GB2312"/>
                <w:sz w:val="20"/>
              </w:rPr>
              <w:t>6.2本项目发掘费单价限价：498.56元/㎡。</w:t>
            </w:r>
          </w:p>
          <w:p>
            <w:pPr>
              <w:pStyle w:val="null3"/>
              <w:spacing w:before="120"/>
              <w:ind w:firstLine="420"/>
              <w:jc w:val="both"/>
            </w:pPr>
            <w:r>
              <w:rPr>
                <w:rFonts w:ascii="仿宋_GB2312" w:hAnsi="仿宋_GB2312" w:cs="仿宋_GB2312" w:eastAsia="仿宋_GB2312"/>
                <w:sz w:val="20"/>
              </w:rPr>
              <w:t>6.3深度超过2米的按国家文物局【90】文物字第248号文件规定的每增加0.5米预算相应递增15%的调整系数进行预算。发掘对象为大中型墓葬或其他特殊遗迹时，总预算按照200%计算。</w:t>
            </w:r>
          </w:p>
          <w:p>
            <w:pPr>
              <w:pStyle w:val="null3"/>
              <w:jc w:val="both"/>
            </w:pPr>
            <w:r>
              <w:rPr>
                <w:rFonts w:ascii="仿宋_GB2312" w:hAnsi="仿宋_GB2312" w:cs="仿宋_GB2312" w:eastAsia="仿宋_GB2312"/>
                <w:sz w:val="20"/>
              </w:rPr>
              <w:t>6.4投标人投标报价的单价超过限价，或者投标总报价超出采购预算，作为不实质性响应招标文件处理。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按照国家文物局颁布的《田野考古操作规程》及相关法律法规进行发掘及验收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田野发掘结束，经验收合格，并提交该项目考古发掘工作报告后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供应商参加政府采购活动承诺书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考古发掘资质证书</w:t>
            </w:r>
          </w:p>
        </w:tc>
        <w:tc>
          <w:tcPr>
            <w:tcW w:type="dxa" w:w="3322"/>
          </w:tcPr>
          <w:p>
            <w:pPr>
              <w:pStyle w:val="null3"/>
            </w:pPr>
            <w:r>
              <w:rPr>
                <w:rFonts w:ascii="仿宋_GB2312" w:hAnsi="仿宋_GB2312" w:cs="仿宋_GB2312" w:eastAsia="仿宋_GB2312"/>
              </w:rPr>
              <w:t>供应商应具有中华人民共和国考古发掘资质证书；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项目负责人应具有国家文物局颁发的考古发掘领队资格证或考古发掘项目负责人资质证书；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拟投入的主要人员简历表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开标记录表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服务期是否满足磋商文件要求</w:t>
            </w:r>
          </w:p>
        </w:tc>
        <w:tc>
          <w:tcPr>
            <w:tcW w:type="dxa" w:w="3322"/>
          </w:tcPr>
          <w:p>
            <w:pPr>
              <w:pStyle w:val="null3"/>
            </w:pPr>
            <w:r>
              <w:rPr>
                <w:rFonts w:ascii="仿宋_GB2312" w:hAnsi="仿宋_GB2312" w:cs="仿宋_GB2312" w:eastAsia="仿宋_GB2312"/>
              </w:rPr>
              <w:t>服务期是否满足磋商文件要求</w:t>
            </w:r>
          </w:p>
        </w:tc>
        <w:tc>
          <w:tcPr>
            <w:tcW w:type="dxa" w:w="1661"/>
          </w:tcPr>
          <w:p>
            <w:pPr>
              <w:pStyle w:val="null3"/>
            </w:pPr>
            <w:r>
              <w:rPr>
                <w:rFonts w:ascii="仿宋_GB2312" w:hAnsi="仿宋_GB2312" w:cs="仿宋_GB2312" w:eastAsia="仿宋_GB2312"/>
              </w:rPr>
              <w:t>商务要求偏离表 开标记录表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付款方式是否响应磋商文件的要求</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商务要求偏离表 开标记录表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报价未超出采购预算及最高限价或单价限价</w:t>
            </w:r>
          </w:p>
        </w:tc>
        <w:tc>
          <w:tcPr>
            <w:tcW w:type="dxa" w:w="3322"/>
          </w:tcPr>
          <w:p>
            <w:pPr>
              <w:pStyle w:val="null3"/>
            </w:pPr>
            <w:r>
              <w:rPr>
                <w:rFonts w:ascii="仿宋_GB2312" w:hAnsi="仿宋_GB2312" w:cs="仿宋_GB2312" w:eastAsia="仿宋_GB2312"/>
              </w:rPr>
              <w:t>报价未超出采购预算及最高限价或单价限价</w:t>
            </w:r>
          </w:p>
        </w:tc>
        <w:tc>
          <w:tcPr>
            <w:tcW w:type="dxa" w:w="1661"/>
          </w:tcPr>
          <w:p>
            <w:pPr>
              <w:pStyle w:val="null3"/>
            </w:pPr>
            <w:r>
              <w:rPr>
                <w:rFonts w:ascii="仿宋_GB2312" w:hAnsi="仿宋_GB2312" w:cs="仿宋_GB2312" w:eastAsia="仿宋_GB2312"/>
              </w:rPr>
              <w:t>商务要求偏离表 开标记录表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技术部分1</w:t>
            </w:r>
          </w:p>
        </w:tc>
        <w:tc>
          <w:tcPr>
            <w:tcW w:type="dxa" w:w="2492"/>
          </w:tcPr>
          <w:p>
            <w:pPr>
              <w:pStyle w:val="null3"/>
            </w:pPr>
            <w:r>
              <w:rPr>
                <w:rFonts w:ascii="仿宋_GB2312" w:hAnsi="仿宋_GB2312" w:cs="仿宋_GB2312" w:eastAsia="仿宋_GB2312"/>
              </w:rPr>
              <w:t>根据供应商针对整体目标提出的工作流程方案进行赋分。 总体目标清晰，工作流程明确合理，完全符合国家及省市相关规定的得5分； 总体目标清晰，工作流程较为明确，符合国家及省市相关规定的得3分； 总体目标清晰，工作流程不够清晰明确，基本符合国家及省市相关规定的得1分； 未提供或工作流程不符合规定的得0分。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投标人认为有必要说明的其他资料</w:t>
            </w:r>
          </w:p>
          <w:p>
            <w:pPr>
              <w:pStyle w:val="null3"/>
            </w:pPr>
            <w:r>
              <w:rPr>
                <w:rFonts w:ascii="仿宋_GB2312" w:hAnsi="仿宋_GB2312" w:cs="仿宋_GB2312" w:eastAsia="仿宋_GB2312"/>
              </w:rPr>
              <w:t>投标方案承诺书</w:t>
            </w:r>
          </w:p>
        </w:tc>
      </w:tr>
      <w:tr>
        <w:tc>
          <w:tcPr>
            <w:tcW w:type="dxa" w:w="831"/>
            <w:vMerge/>
          </w:tcPr>
          <w:p/>
        </w:tc>
        <w:tc>
          <w:tcPr>
            <w:tcW w:type="dxa" w:w="1661"/>
          </w:tcPr>
          <w:p>
            <w:pPr>
              <w:pStyle w:val="null3"/>
            </w:pPr>
            <w:r>
              <w:rPr>
                <w:rFonts w:ascii="仿宋_GB2312" w:hAnsi="仿宋_GB2312" w:cs="仿宋_GB2312" w:eastAsia="仿宋_GB2312"/>
              </w:rPr>
              <w:t>技术部分2</w:t>
            </w:r>
          </w:p>
        </w:tc>
        <w:tc>
          <w:tcPr>
            <w:tcW w:type="dxa" w:w="2492"/>
          </w:tcPr>
          <w:p>
            <w:pPr>
              <w:pStyle w:val="null3"/>
            </w:pPr>
            <w:r>
              <w:rPr>
                <w:rFonts w:ascii="仿宋_GB2312" w:hAnsi="仿宋_GB2312" w:cs="仿宋_GB2312" w:eastAsia="仿宋_GB2312"/>
              </w:rPr>
              <w:t>根据供应商针对整体目标提出的技术方案进行赋分。 技术方案完善先进，项目开展方法完全符合国家及省市相关规定的得5分； 技术方案完善但先进程度不足，项目开展方法符合国家及省市相关规定的得3分； 技术方案完整，项目开展方法基本符合国家及省市相关规定的得1分； 未提供或技术方案不符合规定的得0分。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技术部分3</w:t>
            </w:r>
          </w:p>
        </w:tc>
        <w:tc>
          <w:tcPr>
            <w:tcW w:type="dxa" w:w="2492"/>
          </w:tcPr>
          <w:p>
            <w:pPr>
              <w:pStyle w:val="null3"/>
            </w:pPr>
            <w:r>
              <w:rPr>
                <w:rFonts w:ascii="仿宋_GB2312" w:hAnsi="仿宋_GB2312" w:cs="仿宋_GB2312" w:eastAsia="仿宋_GB2312"/>
              </w:rPr>
              <w:t>根据供应商提供的实施方案中项目的工作步骤、质量控制、进度控制及保证措施全面、规范、合理程度进行评分： 工作步骤清晰，各项控制制度全面，规范，合理可行得5分； 工作步骤不够清晰，各项控制制度全面，规范，合理可行得3分； 工作步骤不够清晰，各项控制制度规范但不够全面得1分； 工作步骤及控制制度不够规范或未提供得0分。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技术部分4</w:t>
            </w:r>
          </w:p>
        </w:tc>
        <w:tc>
          <w:tcPr>
            <w:tcW w:type="dxa" w:w="2492"/>
          </w:tcPr>
          <w:p>
            <w:pPr>
              <w:pStyle w:val="null3"/>
            </w:pPr>
            <w:r>
              <w:rPr>
                <w:rFonts w:ascii="仿宋_GB2312" w:hAnsi="仿宋_GB2312" w:cs="仿宋_GB2312" w:eastAsia="仿宋_GB2312"/>
              </w:rPr>
              <w:t>根据本项目的实际情况，针对特殊性遗存（例如有机类文物、壁画、漆器、青铜器、积沙积碳等）进行分析。 针对特殊性遗迹的分析清晰，理解透彻，认识清楚得5分； 针对特殊性遗迹的分析清晰，理解基本完善，认识清楚得3分； 针对特殊性遗迹的分析较为模糊，理解基本完善，认识有偏差得1分； 未提供或分析偏差较大得0分。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技术部分5</w:t>
            </w:r>
          </w:p>
        </w:tc>
        <w:tc>
          <w:tcPr>
            <w:tcW w:type="dxa" w:w="2492"/>
          </w:tcPr>
          <w:p>
            <w:pPr>
              <w:pStyle w:val="null3"/>
            </w:pPr>
            <w:r>
              <w:rPr>
                <w:rFonts w:ascii="仿宋_GB2312" w:hAnsi="仿宋_GB2312" w:cs="仿宋_GB2312" w:eastAsia="仿宋_GB2312"/>
              </w:rPr>
              <w:t>根据本项目的实际情况，针对特殊性遗存（例如有机类文物、壁画、漆器、青铜器、积沙积碳等）分析的情况出具关键性问题处理方案。 关键性问题把握准确，解决方案切实可行，能对应处理全部关键性问题的得5分； 关键性问题把握准确，但解决方案执行有一定困难的得3分； 能把握部分的关键问题，但解决方案执行有一定困难的得1分； 无法把握关键性问题或未提供得0分。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技术部分6</w:t>
            </w:r>
          </w:p>
        </w:tc>
        <w:tc>
          <w:tcPr>
            <w:tcW w:type="dxa" w:w="2492"/>
          </w:tcPr>
          <w:p>
            <w:pPr>
              <w:pStyle w:val="null3"/>
            </w:pPr>
            <w:r>
              <w:rPr>
                <w:rFonts w:ascii="仿宋_GB2312" w:hAnsi="仿宋_GB2312" w:cs="仿宋_GB2312" w:eastAsia="仿宋_GB2312"/>
              </w:rPr>
              <w:t>根据供应商对项目的管理规章制度全面、规范程度评分： 制度全面完整，规范得5分； 制度基本完整，但不够规范得3分； 有管理制度，规范性有偏差得1分； 响应不完整或未提供得0分。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投标人认为有必要说明的其他资料</w:t>
            </w:r>
          </w:p>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tc>
      </w:tr>
      <w:tr>
        <w:tc>
          <w:tcPr>
            <w:tcW w:type="dxa" w:w="831"/>
            <w:vMerge/>
          </w:tcPr>
          <w:p/>
        </w:tc>
        <w:tc>
          <w:tcPr>
            <w:tcW w:type="dxa" w:w="1661"/>
          </w:tcPr>
          <w:p>
            <w:pPr>
              <w:pStyle w:val="null3"/>
            </w:pPr>
            <w:r>
              <w:rPr>
                <w:rFonts w:ascii="仿宋_GB2312" w:hAnsi="仿宋_GB2312" w:cs="仿宋_GB2312" w:eastAsia="仿宋_GB2312"/>
              </w:rPr>
              <w:t>技术部分7</w:t>
            </w:r>
          </w:p>
        </w:tc>
        <w:tc>
          <w:tcPr>
            <w:tcW w:type="dxa" w:w="2492"/>
          </w:tcPr>
          <w:p>
            <w:pPr>
              <w:pStyle w:val="null3"/>
            </w:pPr>
            <w:r>
              <w:rPr>
                <w:rFonts w:ascii="仿宋_GB2312" w:hAnsi="仿宋_GB2312" w:cs="仿宋_GB2312" w:eastAsia="仿宋_GB2312"/>
              </w:rPr>
              <w:t>根据供应商向采购人提供的各项后续服务方案进行赋分。 后续服务方案内容详实全面、科学合理、有针对性，可确保工作优质、高效、如期完成，得5分； 后续服务方案内容较详实、合理、有针对性，基本可确保工作较好、如期完成，得3分； 后续服务方案内容一般，针对性不强，基本可确保工作如期完成，得1分； 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服务部分1</w:t>
            </w:r>
          </w:p>
        </w:tc>
        <w:tc>
          <w:tcPr>
            <w:tcW w:type="dxa" w:w="2492"/>
          </w:tcPr>
          <w:p>
            <w:pPr>
              <w:pStyle w:val="null3"/>
            </w:pPr>
            <w:r>
              <w:rPr>
                <w:rFonts w:ascii="仿宋_GB2312" w:hAnsi="仿宋_GB2312" w:cs="仿宋_GB2312" w:eastAsia="仿宋_GB2312"/>
              </w:rPr>
              <w:t>根据供应商提供的对相关进度要求、时限要求、发掘成果书面文件质量等做出承诺。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服务部分2</w:t>
            </w:r>
          </w:p>
        </w:tc>
        <w:tc>
          <w:tcPr>
            <w:tcW w:type="dxa" w:w="2492"/>
          </w:tcPr>
          <w:p>
            <w:pPr>
              <w:pStyle w:val="null3"/>
            </w:pPr>
            <w:r>
              <w:rPr>
                <w:rFonts w:ascii="仿宋_GB2312" w:hAnsi="仿宋_GB2312" w:cs="仿宋_GB2312" w:eastAsia="仿宋_GB2312"/>
              </w:rPr>
              <w:t>根据供应商提供的对成果文件的准确性、服务时限内团队稳定性、人员到位情况、服务质量等相关内容做出的承诺进行赋分。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服务部分3</w:t>
            </w:r>
          </w:p>
        </w:tc>
        <w:tc>
          <w:tcPr>
            <w:tcW w:type="dxa" w:w="2492"/>
          </w:tcPr>
          <w:p>
            <w:pPr>
              <w:pStyle w:val="null3"/>
            </w:pPr>
            <w:r>
              <w:rPr>
                <w:rFonts w:ascii="仿宋_GB2312" w:hAnsi="仿宋_GB2312" w:cs="仿宋_GB2312" w:eastAsia="仿宋_GB2312"/>
              </w:rPr>
              <w:t>对供应商的服务能力保障措施进行赋分。 服务能力保障措施合理可靠，并且具备明确的可行性得5分； 服务能力保障措施基本合理，但可行性有所缺失得3分； 服务能力保障措施及可行性均欠妥，有执行的困难得1分； 未提供或无法实施得0分。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服务部分4</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安全管控措施全面、完备健全，具有针对性、可操作性，得5分； 安全管控措施较全面、可操作性较好，得3分； 安全管控措施操作性不强，得1分； 安全管控措施不合理，或未提供得0分。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服务部分5</w:t>
            </w:r>
          </w:p>
        </w:tc>
        <w:tc>
          <w:tcPr>
            <w:tcW w:type="dxa" w:w="2492"/>
          </w:tcPr>
          <w:p>
            <w:pPr>
              <w:pStyle w:val="null3"/>
            </w:pPr>
            <w:r>
              <w:rPr>
                <w:rFonts w:ascii="仿宋_GB2312" w:hAnsi="仿宋_GB2312" w:cs="仿宋_GB2312" w:eastAsia="仿宋_GB2312"/>
              </w:rPr>
              <w:t>对供应商提供的确保安全作业的措施进行赋分。 安全作业保护措施覆盖全面，规范合理得5分； 安全作业保护措施规范合理，但有部分考虑不完善得3分； 安全作业保护措施规范合理，但执行有困难得1分； 未提供或安全作业保护措施不合理得0分。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投标方案承诺书</w:t>
            </w:r>
          </w:p>
          <w:p>
            <w:pPr>
              <w:pStyle w:val="null3"/>
            </w:pPr>
            <w:r>
              <w:rPr>
                <w:rFonts w:ascii="仿宋_GB2312" w:hAnsi="仿宋_GB2312" w:cs="仿宋_GB2312" w:eastAsia="仿宋_GB2312"/>
              </w:rPr>
              <w:t>投标人认为有必要说明的其他资料</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根据拟派项目组的人员数量、专业技术能力、从业经历、参与考古发掘工作的经验等赋分。 人员经验丰富、配备合理充足，证明材料齐全得5分； 人员有一定经验、人员配备无严重缺漏，但有证明材料得3分； 人员缺乏经验、配备情况无法充分完成服务工作，且证明材料不足得1分； 未提供或人员配备完全无法胜任本项目工作的得0分。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拟投入本项目的人员一览表</w:t>
            </w:r>
          </w:p>
          <w:p>
            <w:pPr>
              <w:pStyle w:val="null3"/>
            </w:pPr>
            <w:r>
              <w:rPr>
                <w:rFonts w:ascii="仿宋_GB2312" w:hAnsi="仿宋_GB2312" w:cs="仿宋_GB2312" w:eastAsia="仿宋_GB2312"/>
              </w:rPr>
              <w:t>拟投入的主要人员简历表</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根据拟派项目组人员的岗位划分情况进行赋分。 岗位划分清晰明确，能够点对点完成各项工作的得5分； 岗位划分较为清晰，能够基本确保完成各项工作的得3分； 岗位划分不够清晰明确，但关键岗位点对应完整的得1分； 未划分岗位或未提供不得分。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拟投入本项目的人员一览表</w:t>
            </w:r>
          </w:p>
          <w:p>
            <w:pPr>
              <w:pStyle w:val="null3"/>
            </w:pPr>
            <w:r>
              <w:rPr>
                <w:rFonts w:ascii="仿宋_GB2312" w:hAnsi="仿宋_GB2312" w:cs="仿宋_GB2312" w:eastAsia="仿宋_GB2312"/>
              </w:rPr>
              <w:t>拟投入的主要人员简历表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供应商2021年1月1日至今同类项目业绩，每提供一个有效业绩得2分，本项最高10分。（以合同为准，合同复印件加盖投标人公章装订在投标文件中）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满足招标文件要求的最低投标总报价为评审基准价，其他投标人的价格分按照下列公式计算：投标报价得分=(评标基准价／投标总报价)×20 符合招标文件规定的小微企业、监狱企业等优惠条件的供应商，价格给予10%的扣除，用扣除后的价格参与评审。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开标记录表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 中小企业声明函 残疾人福利性单位声明函 开标记录表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详见附件：开标记录表</w:t>
      </w:r>
    </w:p>
    <w:p>
      <w:pPr>
        <w:pStyle w:val="null3"/>
        <w:ind w:firstLine="960"/>
      </w:pPr>
      <w:r>
        <w:rPr>
          <w:rFonts w:ascii="仿宋_GB2312" w:hAnsi="仿宋_GB2312" w:cs="仿宋_GB2312" w:eastAsia="仿宋_GB2312"/>
        </w:rPr>
        <w:t>详见附件：拟投入本项目的人员一览表</w:t>
      </w:r>
    </w:p>
    <w:p>
      <w:pPr>
        <w:pStyle w:val="null3"/>
        <w:ind w:firstLine="960"/>
      </w:pPr>
      <w:r>
        <w:rPr>
          <w:rFonts w:ascii="仿宋_GB2312" w:hAnsi="仿宋_GB2312" w:cs="仿宋_GB2312" w:eastAsia="仿宋_GB2312"/>
        </w:rPr>
        <w:t>详见附件：拟投入的主要人员简历表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详见附件：同类项目业绩一览表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详见附件：投标方案承诺书</w:t>
      </w:r>
    </w:p>
    <w:p>
      <w:pPr>
        <w:pStyle w:val="null3"/>
        <w:ind w:firstLine="960"/>
      </w:pPr>
      <w:r>
        <w:rPr>
          <w:rFonts w:ascii="仿宋_GB2312" w:hAnsi="仿宋_GB2312" w:cs="仿宋_GB2312" w:eastAsia="仿宋_GB2312"/>
        </w:rPr>
        <w:t>详见附件：投标人认为有必要说明的其他资料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