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07390B">
      <w:pPr>
        <w:pStyle w:val="5"/>
        <w:jc w:val="center"/>
        <w:outlineLvl w:val="1"/>
        <w:rPr>
          <w:rFonts w:hint="default"/>
          <w:highlight w:val="none"/>
        </w:rPr>
      </w:pPr>
      <w:r>
        <w:rPr>
          <w:b/>
          <w:sz w:val="36"/>
          <w:highlight w:val="none"/>
        </w:rPr>
        <w:t>拟签订采购合同文本</w:t>
      </w:r>
    </w:p>
    <w:p w14:paraId="53074837">
      <w:pPr>
        <w:pStyle w:val="5"/>
        <w:rPr>
          <w:rFonts w:hint="default"/>
          <w:b/>
          <w:sz w:val="24"/>
          <w:szCs w:val="24"/>
          <w:highlight w:val="none"/>
        </w:rPr>
      </w:pPr>
    </w:p>
    <w:p w14:paraId="267CA65F">
      <w:pPr>
        <w:pStyle w:val="5"/>
        <w:rPr>
          <w:rFonts w:hint="default"/>
          <w:b/>
          <w:sz w:val="22"/>
          <w:szCs w:val="22"/>
          <w:highlight w:val="none"/>
        </w:rPr>
      </w:pPr>
      <w:r>
        <w:rPr>
          <w:b/>
          <w:sz w:val="22"/>
          <w:szCs w:val="22"/>
          <w:highlight w:val="none"/>
        </w:rPr>
        <w:t>特别说明：本部分所列合同条款，为供应商中标（成交）后与采购人签订的合同模板。实际签订合同时，因不可抗力，如银行政策调整等，我院保留调整合同模板的权利。</w:t>
      </w:r>
    </w:p>
    <w:p w14:paraId="1707537F">
      <w:pPr>
        <w:pStyle w:val="5"/>
        <w:rPr>
          <w:rFonts w:hint="default"/>
          <w:highlight w:val="none"/>
        </w:rPr>
      </w:pPr>
    </w:p>
    <w:p w14:paraId="0F1ADF78">
      <w:pPr>
        <w:pStyle w:val="5"/>
        <w:rPr>
          <w:rFonts w:hint="default"/>
          <w:highlight w:val="none"/>
        </w:rPr>
      </w:pPr>
    </w:p>
    <w:p w14:paraId="14FBB824">
      <w:pPr>
        <w:pStyle w:val="2"/>
        <w:jc w:val="center"/>
        <w:rPr>
          <w:rFonts w:asciiTheme="minorEastAsia" w:hAnsiTheme="minorEastAsia" w:eastAsiaTheme="minorEastAsia"/>
          <w:b/>
          <w:bCs/>
          <w:sz w:val="28"/>
          <w:szCs w:val="44"/>
          <w:highlight w:val="none"/>
          <w:lang w:eastAsia="zh-CN"/>
        </w:rPr>
      </w:pPr>
      <w:r>
        <w:rPr>
          <w:rFonts w:hint="eastAsia" w:asciiTheme="minorEastAsia" w:hAnsiTheme="minorEastAsia" w:eastAsiaTheme="minorEastAsia"/>
          <w:b/>
          <w:bCs/>
          <w:sz w:val="28"/>
          <w:szCs w:val="44"/>
          <w:highlight w:val="none"/>
          <w:lang w:eastAsia="zh-CN"/>
        </w:rPr>
        <w:t>西安市第三医院</w:t>
      </w:r>
    </w:p>
    <w:p w14:paraId="17D403BD">
      <w:pPr>
        <w:pStyle w:val="2"/>
        <w:jc w:val="center"/>
        <w:rPr>
          <w:rFonts w:asciiTheme="minorEastAsia" w:hAnsiTheme="minorEastAsia" w:eastAsiaTheme="minorEastAsia"/>
          <w:b/>
          <w:bCs/>
          <w:sz w:val="28"/>
          <w:szCs w:val="44"/>
          <w:highlight w:val="none"/>
          <w:lang w:eastAsia="zh-CN"/>
        </w:rPr>
      </w:pPr>
      <w:r>
        <w:rPr>
          <w:rFonts w:hint="eastAsia" w:asciiTheme="minorEastAsia" w:hAnsiTheme="minorEastAsia" w:eastAsiaTheme="minorEastAsia"/>
          <w:sz w:val="24"/>
          <w:highlight w:val="none"/>
          <w:u w:val="single"/>
          <w:lang w:eastAsia="zh-CN"/>
        </w:rPr>
        <w:t xml:space="preserve">                    </w:t>
      </w:r>
      <w:r>
        <w:rPr>
          <w:rFonts w:hint="eastAsia" w:asciiTheme="minorEastAsia" w:hAnsiTheme="minorEastAsia" w:eastAsiaTheme="minorEastAsia"/>
          <w:b/>
          <w:bCs/>
          <w:sz w:val="28"/>
          <w:szCs w:val="44"/>
          <w:highlight w:val="none"/>
          <w:lang w:eastAsia="zh-CN"/>
        </w:rPr>
        <w:t>银医合作项目</w:t>
      </w:r>
    </w:p>
    <w:p w14:paraId="3BA02827">
      <w:pPr>
        <w:pStyle w:val="2"/>
        <w:jc w:val="left"/>
        <w:rPr>
          <w:rFonts w:asciiTheme="minorEastAsia" w:hAnsiTheme="minorEastAsia" w:eastAsiaTheme="minorEastAsia"/>
          <w:sz w:val="24"/>
          <w:highlight w:val="none"/>
          <w:lang w:eastAsia="zh-CN"/>
        </w:rPr>
      </w:pPr>
    </w:p>
    <w:p w14:paraId="0A312661">
      <w:pPr>
        <w:pStyle w:val="2"/>
        <w:jc w:val="left"/>
        <w:rPr>
          <w:rFonts w:asciiTheme="minorEastAsia" w:hAnsiTheme="minorEastAsia" w:eastAsiaTheme="minorEastAsia"/>
          <w:sz w:val="24"/>
          <w:highlight w:val="none"/>
          <w:lang w:eastAsia="zh-CN"/>
        </w:rPr>
      </w:pPr>
    </w:p>
    <w:p w14:paraId="1A9A1249">
      <w:pPr>
        <w:pStyle w:val="2"/>
        <w:jc w:val="left"/>
        <w:rPr>
          <w:rFonts w:asciiTheme="minorEastAsia" w:hAnsiTheme="minorEastAsia" w:eastAsiaTheme="minorEastAsia"/>
          <w:sz w:val="24"/>
          <w:highlight w:val="none"/>
          <w:lang w:eastAsia="zh-CN"/>
        </w:rPr>
      </w:pPr>
    </w:p>
    <w:p w14:paraId="23BC3318">
      <w:pPr>
        <w:pStyle w:val="2"/>
        <w:jc w:val="left"/>
        <w:rPr>
          <w:rFonts w:asciiTheme="minorEastAsia" w:hAnsiTheme="minorEastAsia" w:eastAsiaTheme="minorEastAsia"/>
          <w:sz w:val="24"/>
          <w:highlight w:val="none"/>
          <w:lang w:eastAsia="zh-CN"/>
        </w:rPr>
      </w:pPr>
      <w:r>
        <w:rPr>
          <w:rFonts w:hint="eastAsia" w:asciiTheme="minorEastAsia" w:hAnsiTheme="minorEastAsia" w:eastAsiaTheme="minorEastAsia"/>
          <w:sz w:val="24"/>
          <w:highlight w:val="none"/>
          <w:lang w:eastAsia="zh-CN"/>
        </w:rPr>
        <w:t>甲方（采购人）：西安市第三医院</w:t>
      </w:r>
    </w:p>
    <w:p w14:paraId="0600D885">
      <w:pPr>
        <w:pStyle w:val="2"/>
        <w:jc w:val="left"/>
        <w:rPr>
          <w:rFonts w:asciiTheme="minorEastAsia" w:hAnsiTheme="minorEastAsia" w:eastAsiaTheme="minorEastAsia"/>
          <w:sz w:val="24"/>
          <w:highlight w:val="none"/>
          <w:lang w:eastAsia="zh-CN"/>
        </w:rPr>
      </w:pPr>
    </w:p>
    <w:p w14:paraId="697F0DA7">
      <w:pPr>
        <w:pStyle w:val="2"/>
        <w:jc w:val="left"/>
        <w:rPr>
          <w:rFonts w:asciiTheme="minorEastAsia" w:hAnsiTheme="minorEastAsia" w:eastAsiaTheme="minorEastAsia"/>
          <w:sz w:val="24"/>
          <w:highlight w:val="none"/>
          <w:lang w:eastAsia="zh-CN"/>
        </w:rPr>
      </w:pPr>
    </w:p>
    <w:p w14:paraId="4A3BA75E">
      <w:pPr>
        <w:pStyle w:val="2"/>
        <w:jc w:val="left"/>
        <w:rPr>
          <w:rFonts w:asciiTheme="minorEastAsia" w:hAnsiTheme="minorEastAsia" w:eastAsiaTheme="minorEastAsia"/>
          <w:sz w:val="24"/>
          <w:highlight w:val="none"/>
          <w:lang w:eastAsia="zh-CN"/>
        </w:rPr>
      </w:pPr>
    </w:p>
    <w:p w14:paraId="6D90A9F8">
      <w:pPr>
        <w:pStyle w:val="2"/>
        <w:jc w:val="left"/>
        <w:rPr>
          <w:rFonts w:asciiTheme="minorEastAsia" w:hAnsiTheme="minorEastAsia" w:eastAsiaTheme="minorEastAsia"/>
          <w:sz w:val="24"/>
          <w:highlight w:val="none"/>
          <w:lang w:eastAsia="zh-CN"/>
        </w:rPr>
      </w:pPr>
      <w:r>
        <w:rPr>
          <w:rFonts w:hint="eastAsia" w:asciiTheme="minorEastAsia" w:hAnsiTheme="minorEastAsia" w:eastAsiaTheme="minorEastAsia"/>
          <w:sz w:val="24"/>
          <w:highlight w:val="none"/>
          <w:lang w:eastAsia="zh-CN"/>
        </w:rPr>
        <w:t>乙方（供货商）：</w:t>
      </w:r>
    </w:p>
    <w:p w14:paraId="61D593B7">
      <w:pPr>
        <w:pStyle w:val="2"/>
        <w:jc w:val="left"/>
        <w:rPr>
          <w:rFonts w:asciiTheme="minorEastAsia" w:hAnsiTheme="minorEastAsia" w:eastAsiaTheme="minorEastAsia"/>
          <w:sz w:val="24"/>
          <w:highlight w:val="none"/>
          <w:lang w:eastAsia="zh-CN"/>
        </w:rPr>
      </w:pPr>
    </w:p>
    <w:p w14:paraId="5990C0CD">
      <w:pPr>
        <w:pStyle w:val="2"/>
        <w:jc w:val="left"/>
        <w:rPr>
          <w:rFonts w:asciiTheme="minorEastAsia" w:hAnsiTheme="minorEastAsia" w:eastAsiaTheme="minorEastAsia"/>
          <w:sz w:val="24"/>
          <w:highlight w:val="none"/>
          <w:lang w:eastAsia="zh-CN"/>
        </w:rPr>
      </w:pPr>
    </w:p>
    <w:p w14:paraId="214152D7">
      <w:pPr>
        <w:pStyle w:val="2"/>
        <w:jc w:val="left"/>
        <w:rPr>
          <w:rFonts w:asciiTheme="minorEastAsia" w:hAnsiTheme="minorEastAsia" w:eastAsiaTheme="minorEastAsia"/>
          <w:sz w:val="24"/>
          <w:highlight w:val="none"/>
          <w:lang w:eastAsia="zh-CN"/>
        </w:rPr>
      </w:pPr>
    </w:p>
    <w:p w14:paraId="6213B7D4">
      <w:pPr>
        <w:pStyle w:val="2"/>
        <w:jc w:val="left"/>
        <w:rPr>
          <w:rFonts w:asciiTheme="minorEastAsia" w:hAnsiTheme="minorEastAsia" w:eastAsiaTheme="minorEastAsia"/>
          <w:sz w:val="24"/>
          <w:highlight w:val="none"/>
          <w:lang w:eastAsia="zh-CN"/>
        </w:rPr>
      </w:pPr>
      <w:r>
        <w:rPr>
          <w:rFonts w:hint="eastAsia" w:asciiTheme="minorEastAsia" w:hAnsiTheme="minorEastAsia" w:eastAsiaTheme="minorEastAsia"/>
          <w:sz w:val="24"/>
          <w:highlight w:val="none"/>
          <w:lang w:eastAsia="zh-CN"/>
        </w:rPr>
        <w:t>丙方（银行，如有）：</w:t>
      </w:r>
    </w:p>
    <w:p w14:paraId="298022EC">
      <w:pPr>
        <w:spacing w:line="360" w:lineRule="auto"/>
        <w:rPr>
          <w:rFonts w:cs="宋体" w:asciiTheme="minorEastAsia" w:hAnsiTheme="minorEastAsia"/>
          <w:sz w:val="24"/>
          <w:highlight w:val="none"/>
        </w:rPr>
      </w:pPr>
    </w:p>
    <w:p w14:paraId="33C88895">
      <w:pPr>
        <w:spacing w:line="360" w:lineRule="auto"/>
        <w:rPr>
          <w:rFonts w:cs="宋体" w:asciiTheme="minorEastAsia" w:hAnsiTheme="minorEastAsia"/>
          <w:sz w:val="24"/>
          <w:highlight w:val="none"/>
        </w:rPr>
      </w:pPr>
    </w:p>
    <w:p w14:paraId="2F2C9598">
      <w:pPr>
        <w:rPr>
          <w:rFonts w:asciiTheme="minorEastAsia" w:hAnsiTheme="minorEastAsia"/>
          <w:highlight w:val="none"/>
        </w:rPr>
      </w:pPr>
      <w:r>
        <w:rPr>
          <w:rFonts w:asciiTheme="minorEastAsia" w:hAnsiTheme="minorEastAsia"/>
          <w:highlight w:val="none"/>
        </w:rPr>
        <w:br w:type="page"/>
      </w:r>
    </w:p>
    <w:p w14:paraId="5C73BD69">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依据《中华人民共和国政府采购法》、《中华人民共和国民法典》以及磋商文件、成交人磋商响应文件正本和澄清表（函）、成交通知书，经采购人、供货商协商，达成如下条款。</w:t>
      </w:r>
    </w:p>
    <w:p w14:paraId="5F365323">
      <w:pPr>
        <w:pStyle w:val="6"/>
        <w:widowControl w:val="0"/>
        <w:numPr>
          <w:ilvl w:val="0"/>
          <w:numId w:val="1"/>
        </w:numPr>
        <w:tabs>
          <w:tab w:val="left" w:pos="480"/>
        </w:tabs>
        <w:kinsoku/>
        <w:autoSpaceDE/>
        <w:autoSpaceDN/>
        <w:adjustRightInd/>
        <w:snapToGrid/>
        <w:spacing w:line="360" w:lineRule="auto"/>
        <w:ind w:firstLineChars="0"/>
        <w:jc w:val="both"/>
        <w:textAlignment w:val="auto"/>
        <w:rPr>
          <w:rFonts w:cs="宋体" w:asciiTheme="minorEastAsia" w:hAnsiTheme="minorEastAsia"/>
          <w:sz w:val="24"/>
          <w:highlight w:val="none"/>
          <w:lang w:eastAsia="zh-CN"/>
        </w:rPr>
      </w:pPr>
      <w:r>
        <w:rPr>
          <w:rFonts w:hint="eastAsia" w:cs="宋体" w:asciiTheme="minorEastAsia" w:hAnsiTheme="minorEastAsia"/>
          <w:b/>
          <w:sz w:val="24"/>
          <w:highlight w:val="none"/>
          <w:lang w:eastAsia="zh-CN"/>
        </w:rPr>
        <w:t>合同标的物内容及数量</w:t>
      </w:r>
      <w:r>
        <w:rPr>
          <w:rFonts w:hint="eastAsia" w:cs="宋体" w:asciiTheme="minorEastAsia" w:hAnsiTheme="minorEastAsia"/>
          <w:sz w:val="24"/>
          <w:highlight w:val="none"/>
          <w:lang w:eastAsia="zh-CN"/>
        </w:rPr>
        <w:t>（以磋商响应文件正本和澄清表〈函〉为准）</w:t>
      </w:r>
    </w:p>
    <w:tbl>
      <w:tblPr>
        <w:tblStyle w:val="3"/>
        <w:tblW w:w="97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2"/>
        <w:gridCol w:w="2662"/>
        <w:gridCol w:w="1134"/>
        <w:gridCol w:w="1809"/>
        <w:gridCol w:w="1560"/>
        <w:gridCol w:w="1592"/>
      </w:tblGrid>
      <w:tr w14:paraId="6530D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952" w:type="dxa"/>
            <w:tcBorders>
              <w:top w:val="single" w:color="auto" w:sz="4" w:space="0"/>
              <w:left w:val="single" w:color="auto" w:sz="4" w:space="0"/>
              <w:bottom w:val="single" w:color="auto" w:sz="4" w:space="0"/>
              <w:right w:val="single" w:color="auto" w:sz="4" w:space="0"/>
            </w:tcBorders>
            <w:vAlign w:val="center"/>
          </w:tcPr>
          <w:p w14:paraId="4220586E">
            <w:pPr>
              <w:tabs>
                <w:tab w:val="left" w:pos="480"/>
              </w:tabs>
              <w:jc w:val="center"/>
              <w:rPr>
                <w:rFonts w:asciiTheme="minorEastAsia" w:hAnsiTheme="minorEastAsia"/>
                <w:sz w:val="24"/>
                <w:highlight w:val="none"/>
              </w:rPr>
            </w:pPr>
            <w:r>
              <w:rPr>
                <w:rFonts w:hint="eastAsia" w:asciiTheme="minorEastAsia" w:hAnsiTheme="minorEastAsia"/>
                <w:sz w:val="24"/>
                <w:highlight w:val="none"/>
              </w:rPr>
              <w:t>序号</w:t>
            </w:r>
          </w:p>
        </w:tc>
        <w:tc>
          <w:tcPr>
            <w:tcW w:w="2662" w:type="dxa"/>
            <w:tcBorders>
              <w:top w:val="single" w:color="auto" w:sz="4" w:space="0"/>
              <w:left w:val="single" w:color="auto" w:sz="4" w:space="0"/>
              <w:bottom w:val="single" w:color="auto" w:sz="4" w:space="0"/>
              <w:right w:val="single" w:color="auto" w:sz="4" w:space="0"/>
            </w:tcBorders>
            <w:vAlign w:val="center"/>
          </w:tcPr>
          <w:p w14:paraId="6DED5152">
            <w:pPr>
              <w:tabs>
                <w:tab w:val="left" w:pos="480"/>
              </w:tabs>
              <w:jc w:val="center"/>
              <w:rPr>
                <w:rFonts w:asciiTheme="minorEastAsia" w:hAnsiTheme="minorEastAsia"/>
                <w:sz w:val="24"/>
                <w:highlight w:val="none"/>
              </w:rPr>
            </w:pPr>
            <w:r>
              <w:rPr>
                <w:rFonts w:hint="eastAsia" w:asciiTheme="minorEastAsia" w:hAnsiTheme="minorEastAsia"/>
                <w:sz w:val="24"/>
                <w:highlight w:val="none"/>
              </w:rPr>
              <w:t>货物名称</w:t>
            </w:r>
          </w:p>
        </w:tc>
        <w:tc>
          <w:tcPr>
            <w:tcW w:w="1134" w:type="dxa"/>
            <w:tcBorders>
              <w:top w:val="single" w:color="auto" w:sz="4" w:space="0"/>
              <w:left w:val="single" w:color="auto" w:sz="4" w:space="0"/>
              <w:bottom w:val="single" w:color="auto" w:sz="4" w:space="0"/>
              <w:right w:val="single" w:color="auto" w:sz="4" w:space="0"/>
            </w:tcBorders>
            <w:vAlign w:val="center"/>
          </w:tcPr>
          <w:p w14:paraId="44559D11">
            <w:pPr>
              <w:tabs>
                <w:tab w:val="left" w:pos="480"/>
              </w:tabs>
              <w:jc w:val="center"/>
              <w:rPr>
                <w:rFonts w:asciiTheme="minorEastAsia" w:hAnsiTheme="minorEastAsia"/>
                <w:sz w:val="24"/>
                <w:highlight w:val="none"/>
              </w:rPr>
            </w:pPr>
            <w:r>
              <w:rPr>
                <w:rFonts w:hint="eastAsia" w:asciiTheme="minorEastAsia" w:hAnsiTheme="minorEastAsia"/>
                <w:sz w:val="24"/>
                <w:highlight w:val="none"/>
              </w:rPr>
              <w:t>数量</w:t>
            </w:r>
          </w:p>
        </w:tc>
        <w:tc>
          <w:tcPr>
            <w:tcW w:w="1809" w:type="dxa"/>
            <w:tcBorders>
              <w:top w:val="single" w:color="auto" w:sz="4" w:space="0"/>
              <w:left w:val="single" w:color="auto" w:sz="4" w:space="0"/>
              <w:bottom w:val="single" w:color="auto" w:sz="4" w:space="0"/>
              <w:right w:val="single" w:color="auto" w:sz="4" w:space="0"/>
            </w:tcBorders>
            <w:vAlign w:val="center"/>
          </w:tcPr>
          <w:p w14:paraId="23776CC5">
            <w:pPr>
              <w:tabs>
                <w:tab w:val="left" w:pos="480"/>
              </w:tabs>
              <w:jc w:val="center"/>
              <w:rPr>
                <w:rFonts w:asciiTheme="minorEastAsia" w:hAnsiTheme="minorEastAsia"/>
                <w:sz w:val="24"/>
                <w:highlight w:val="none"/>
              </w:rPr>
            </w:pPr>
            <w:r>
              <w:rPr>
                <w:rFonts w:hint="eastAsia" w:asciiTheme="minorEastAsia" w:hAnsiTheme="minorEastAsia"/>
                <w:sz w:val="24"/>
                <w:highlight w:val="none"/>
              </w:rPr>
              <w:t>单价</w:t>
            </w:r>
          </w:p>
          <w:p w14:paraId="37948201">
            <w:pPr>
              <w:tabs>
                <w:tab w:val="left" w:pos="480"/>
              </w:tabs>
              <w:jc w:val="center"/>
              <w:rPr>
                <w:rFonts w:asciiTheme="minorEastAsia" w:hAnsiTheme="minorEastAsia"/>
                <w:sz w:val="24"/>
                <w:highlight w:val="none"/>
              </w:rPr>
            </w:pPr>
            <w:r>
              <w:rPr>
                <w:rFonts w:hint="eastAsia" w:asciiTheme="minorEastAsia" w:hAnsiTheme="minorEastAsia"/>
                <w:sz w:val="24"/>
                <w:highlight w:val="none"/>
              </w:rPr>
              <w:t>（含税，元）</w:t>
            </w:r>
          </w:p>
        </w:tc>
        <w:tc>
          <w:tcPr>
            <w:tcW w:w="1560" w:type="dxa"/>
            <w:tcBorders>
              <w:top w:val="single" w:color="auto" w:sz="4" w:space="0"/>
              <w:left w:val="single" w:color="auto" w:sz="4" w:space="0"/>
              <w:bottom w:val="single" w:color="auto" w:sz="4" w:space="0"/>
              <w:right w:val="single" w:color="auto" w:sz="4" w:space="0"/>
            </w:tcBorders>
          </w:tcPr>
          <w:p w14:paraId="574C424B">
            <w:pPr>
              <w:tabs>
                <w:tab w:val="left" w:pos="480"/>
              </w:tabs>
              <w:jc w:val="center"/>
              <w:rPr>
                <w:rFonts w:asciiTheme="minorEastAsia" w:hAnsiTheme="minorEastAsia"/>
                <w:sz w:val="24"/>
                <w:highlight w:val="none"/>
              </w:rPr>
            </w:pPr>
            <w:r>
              <w:rPr>
                <w:rFonts w:hint="eastAsia" w:asciiTheme="minorEastAsia" w:hAnsiTheme="minorEastAsia"/>
                <w:sz w:val="24"/>
                <w:highlight w:val="none"/>
              </w:rPr>
              <w:t>总价</w:t>
            </w:r>
          </w:p>
          <w:p w14:paraId="23982099">
            <w:pPr>
              <w:tabs>
                <w:tab w:val="left" w:pos="480"/>
              </w:tabs>
              <w:jc w:val="center"/>
              <w:rPr>
                <w:rFonts w:asciiTheme="minorEastAsia" w:hAnsiTheme="minorEastAsia"/>
                <w:sz w:val="24"/>
                <w:highlight w:val="none"/>
              </w:rPr>
            </w:pPr>
            <w:r>
              <w:rPr>
                <w:rFonts w:hint="eastAsia" w:asciiTheme="minorEastAsia" w:hAnsiTheme="minorEastAsia"/>
                <w:sz w:val="24"/>
                <w:highlight w:val="none"/>
              </w:rPr>
              <w:t>（含税，元）</w:t>
            </w:r>
          </w:p>
        </w:tc>
        <w:tc>
          <w:tcPr>
            <w:tcW w:w="1592" w:type="dxa"/>
            <w:tcBorders>
              <w:top w:val="single" w:color="auto" w:sz="4" w:space="0"/>
              <w:left w:val="single" w:color="auto" w:sz="4" w:space="0"/>
              <w:bottom w:val="single" w:color="auto" w:sz="4" w:space="0"/>
              <w:right w:val="single" w:color="auto" w:sz="4" w:space="0"/>
            </w:tcBorders>
            <w:vAlign w:val="center"/>
          </w:tcPr>
          <w:p w14:paraId="1E274FE5">
            <w:pPr>
              <w:tabs>
                <w:tab w:val="left" w:pos="480"/>
              </w:tabs>
              <w:jc w:val="center"/>
              <w:rPr>
                <w:rFonts w:asciiTheme="minorEastAsia" w:hAnsiTheme="minorEastAsia"/>
                <w:sz w:val="24"/>
                <w:highlight w:val="none"/>
              </w:rPr>
            </w:pPr>
            <w:r>
              <w:rPr>
                <w:rFonts w:hint="eastAsia" w:asciiTheme="minorEastAsia" w:hAnsiTheme="minorEastAsia"/>
                <w:sz w:val="24"/>
                <w:highlight w:val="none"/>
              </w:rPr>
              <w:t>备注</w:t>
            </w:r>
          </w:p>
        </w:tc>
      </w:tr>
      <w:tr w14:paraId="4DFC6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952" w:type="dxa"/>
            <w:tcBorders>
              <w:top w:val="single" w:color="auto" w:sz="4" w:space="0"/>
              <w:left w:val="single" w:color="auto" w:sz="4" w:space="0"/>
              <w:bottom w:val="single" w:color="auto" w:sz="4" w:space="0"/>
              <w:right w:val="single" w:color="auto" w:sz="4" w:space="0"/>
            </w:tcBorders>
            <w:vAlign w:val="center"/>
          </w:tcPr>
          <w:p w14:paraId="1D559B01">
            <w:pPr>
              <w:tabs>
                <w:tab w:val="left" w:pos="480"/>
              </w:tabs>
              <w:jc w:val="center"/>
              <w:rPr>
                <w:rFonts w:asciiTheme="minorEastAsia" w:hAnsiTheme="minorEastAsia"/>
                <w:sz w:val="24"/>
                <w:highlight w:val="none"/>
              </w:rPr>
            </w:pPr>
            <w:r>
              <w:rPr>
                <w:rFonts w:hint="eastAsia" w:asciiTheme="minorEastAsia" w:hAnsiTheme="minorEastAsia"/>
                <w:sz w:val="24"/>
                <w:highlight w:val="none"/>
              </w:rPr>
              <w:t>1</w:t>
            </w:r>
          </w:p>
        </w:tc>
        <w:tc>
          <w:tcPr>
            <w:tcW w:w="2662" w:type="dxa"/>
            <w:tcBorders>
              <w:top w:val="single" w:color="auto" w:sz="4" w:space="0"/>
              <w:left w:val="single" w:color="auto" w:sz="4" w:space="0"/>
              <w:bottom w:val="single" w:color="auto" w:sz="4" w:space="0"/>
              <w:right w:val="single" w:color="auto" w:sz="4" w:space="0"/>
            </w:tcBorders>
            <w:vAlign w:val="center"/>
          </w:tcPr>
          <w:p w14:paraId="7828410A">
            <w:pPr>
              <w:tabs>
                <w:tab w:val="left" w:pos="480"/>
              </w:tabs>
              <w:jc w:val="center"/>
              <w:rPr>
                <w:rFonts w:asciiTheme="minorEastAsia" w:hAnsiTheme="minorEastAsia"/>
                <w:sz w:val="24"/>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3B540801">
            <w:pPr>
              <w:tabs>
                <w:tab w:val="left" w:pos="480"/>
              </w:tabs>
              <w:jc w:val="center"/>
              <w:rPr>
                <w:rFonts w:asciiTheme="minorEastAsia" w:hAnsiTheme="minorEastAsia"/>
                <w:sz w:val="24"/>
                <w:highlight w:val="none"/>
              </w:rPr>
            </w:pPr>
          </w:p>
        </w:tc>
        <w:tc>
          <w:tcPr>
            <w:tcW w:w="1809" w:type="dxa"/>
            <w:tcBorders>
              <w:top w:val="single" w:color="auto" w:sz="4" w:space="0"/>
              <w:left w:val="single" w:color="auto" w:sz="4" w:space="0"/>
              <w:bottom w:val="single" w:color="auto" w:sz="4" w:space="0"/>
              <w:right w:val="single" w:color="auto" w:sz="4" w:space="0"/>
            </w:tcBorders>
            <w:vAlign w:val="center"/>
          </w:tcPr>
          <w:p w14:paraId="21C3F372">
            <w:pPr>
              <w:tabs>
                <w:tab w:val="left" w:pos="480"/>
              </w:tabs>
              <w:jc w:val="center"/>
              <w:rPr>
                <w:rFonts w:asciiTheme="minorEastAsia" w:hAnsiTheme="minorEastAsia"/>
                <w:sz w:val="24"/>
                <w:highlight w:val="none"/>
              </w:rPr>
            </w:pPr>
          </w:p>
        </w:tc>
        <w:tc>
          <w:tcPr>
            <w:tcW w:w="1560" w:type="dxa"/>
            <w:tcBorders>
              <w:top w:val="single" w:color="auto" w:sz="4" w:space="0"/>
              <w:left w:val="single" w:color="auto" w:sz="4" w:space="0"/>
              <w:bottom w:val="single" w:color="auto" w:sz="4" w:space="0"/>
              <w:right w:val="single" w:color="auto" w:sz="4" w:space="0"/>
            </w:tcBorders>
            <w:vAlign w:val="center"/>
          </w:tcPr>
          <w:p w14:paraId="755F1129">
            <w:pPr>
              <w:tabs>
                <w:tab w:val="left" w:pos="480"/>
              </w:tabs>
              <w:jc w:val="center"/>
              <w:rPr>
                <w:rFonts w:asciiTheme="minorEastAsia" w:hAnsiTheme="minorEastAsia"/>
                <w:sz w:val="24"/>
                <w:highlight w:val="none"/>
              </w:rPr>
            </w:pPr>
          </w:p>
        </w:tc>
        <w:tc>
          <w:tcPr>
            <w:tcW w:w="1592" w:type="dxa"/>
            <w:tcBorders>
              <w:top w:val="single" w:color="auto" w:sz="4" w:space="0"/>
              <w:left w:val="single" w:color="auto" w:sz="4" w:space="0"/>
              <w:bottom w:val="single" w:color="auto" w:sz="4" w:space="0"/>
              <w:right w:val="single" w:color="auto" w:sz="4" w:space="0"/>
            </w:tcBorders>
            <w:vAlign w:val="center"/>
          </w:tcPr>
          <w:p w14:paraId="5B224D4D">
            <w:pPr>
              <w:tabs>
                <w:tab w:val="left" w:pos="480"/>
              </w:tabs>
              <w:jc w:val="center"/>
              <w:rPr>
                <w:rFonts w:asciiTheme="minorEastAsia" w:hAnsiTheme="minorEastAsia"/>
                <w:sz w:val="24"/>
                <w:highlight w:val="none"/>
              </w:rPr>
            </w:pPr>
          </w:p>
        </w:tc>
      </w:tr>
      <w:tr w14:paraId="796CB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952" w:type="dxa"/>
            <w:tcBorders>
              <w:top w:val="single" w:color="auto" w:sz="4" w:space="0"/>
              <w:left w:val="single" w:color="auto" w:sz="4" w:space="0"/>
              <w:bottom w:val="single" w:color="auto" w:sz="4" w:space="0"/>
              <w:right w:val="single" w:color="auto" w:sz="4" w:space="0"/>
            </w:tcBorders>
            <w:vAlign w:val="center"/>
          </w:tcPr>
          <w:p w14:paraId="6672DE5E">
            <w:pPr>
              <w:tabs>
                <w:tab w:val="left" w:pos="480"/>
              </w:tabs>
              <w:jc w:val="center"/>
              <w:rPr>
                <w:rFonts w:asciiTheme="minorEastAsia" w:hAnsiTheme="minorEastAsia"/>
                <w:sz w:val="24"/>
                <w:highlight w:val="none"/>
              </w:rPr>
            </w:pPr>
            <w:r>
              <w:rPr>
                <w:rFonts w:hint="eastAsia" w:asciiTheme="minorEastAsia" w:hAnsiTheme="minorEastAsia"/>
                <w:sz w:val="24"/>
                <w:highlight w:val="none"/>
              </w:rPr>
              <w:t>2</w:t>
            </w:r>
          </w:p>
        </w:tc>
        <w:tc>
          <w:tcPr>
            <w:tcW w:w="2662" w:type="dxa"/>
            <w:tcBorders>
              <w:top w:val="single" w:color="auto" w:sz="4" w:space="0"/>
              <w:left w:val="single" w:color="auto" w:sz="4" w:space="0"/>
              <w:bottom w:val="single" w:color="auto" w:sz="4" w:space="0"/>
              <w:right w:val="single" w:color="auto" w:sz="4" w:space="0"/>
            </w:tcBorders>
            <w:vAlign w:val="center"/>
          </w:tcPr>
          <w:p w14:paraId="5FC9BB00">
            <w:pPr>
              <w:tabs>
                <w:tab w:val="left" w:pos="480"/>
              </w:tabs>
              <w:jc w:val="center"/>
              <w:rPr>
                <w:rFonts w:asciiTheme="minorEastAsia" w:hAnsiTheme="minorEastAsia"/>
                <w:sz w:val="24"/>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5917DCB2">
            <w:pPr>
              <w:tabs>
                <w:tab w:val="left" w:pos="480"/>
              </w:tabs>
              <w:jc w:val="center"/>
              <w:rPr>
                <w:rFonts w:asciiTheme="minorEastAsia" w:hAnsiTheme="minorEastAsia"/>
                <w:sz w:val="24"/>
                <w:highlight w:val="none"/>
              </w:rPr>
            </w:pPr>
          </w:p>
        </w:tc>
        <w:tc>
          <w:tcPr>
            <w:tcW w:w="1809" w:type="dxa"/>
            <w:tcBorders>
              <w:top w:val="single" w:color="auto" w:sz="4" w:space="0"/>
              <w:left w:val="single" w:color="auto" w:sz="4" w:space="0"/>
              <w:bottom w:val="single" w:color="auto" w:sz="4" w:space="0"/>
              <w:right w:val="single" w:color="auto" w:sz="4" w:space="0"/>
            </w:tcBorders>
            <w:vAlign w:val="center"/>
          </w:tcPr>
          <w:p w14:paraId="037A6F83">
            <w:pPr>
              <w:tabs>
                <w:tab w:val="left" w:pos="480"/>
              </w:tabs>
              <w:jc w:val="center"/>
              <w:rPr>
                <w:rFonts w:asciiTheme="minorEastAsia" w:hAnsiTheme="minorEastAsia"/>
                <w:sz w:val="24"/>
                <w:highlight w:val="none"/>
              </w:rPr>
            </w:pPr>
          </w:p>
        </w:tc>
        <w:tc>
          <w:tcPr>
            <w:tcW w:w="1560" w:type="dxa"/>
            <w:tcBorders>
              <w:top w:val="single" w:color="auto" w:sz="4" w:space="0"/>
              <w:left w:val="single" w:color="auto" w:sz="4" w:space="0"/>
              <w:bottom w:val="single" w:color="auto" w:sz="4" w:space="0"/>
              <w:right w:val="single" w:color="auto" w:sz="4" w:space="0"/>
            </w:tcBorders>
            <w:vAlign w:val="center"/>
          </w:tcPr>
          <w:p w14:paraId="0B1495B6">
            <w:pPr>
              <w:tabs>
                <w:tab w:val="left" w:pos="480"/>
              </w:tabs>
              <w:jc w:val="center"/>
              <w:rPr>
                <w:rFonts w:asciiTheme="minorEastAsia" w:hAnsiTheme="minorEastAsia"/>
                <w:sz w:val="24"/>
                <w:highlight w:val="none"/>
              </w:rPr>
            </w:pPr>
          </w:p>
        </w:tc>
        <w:tc>
          <w:tcPr>
            <w:tcW w:w="1592" w:type="dxa"/>
            <w:tcBorders>
              <w:top w:val="single" w:color="auto" w:sz="4" w:space="0"/>
              <w:left w:val="single" w:color="auto" w:sz="4" w:space="0"/>
              <w:bottom w:val="single" w:color="auto" w:sz="4" w:space="0"/>
              <w:right w:val="single" w:color="auto" w:sz="4" w:space="0"/>
            </w:tcBorders>
            <w:vAlign w:val="center"/>
          </w:tcPr>
          <w:p w14:paraId="2FC02589">
            <w:pPr>
              <w:tabs>
                <w:tab w:val="left" w:pos="480"/>
              </w:tabs>
              <w:jc w:val="center"/>
              <w:rPr>
                <w:rFonts w:asciiTheme="minorEastAsia" w:hAnsiTheme="minorEastAsia"/>
                <w:sz w:val="24"/>
                <w:highlight w:val="none"/>
              </w:rPr>
            </w:pPr>
          </w:p>
        </w:tc>
      </w:tr>
      <w:tr w14:paraId="60850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952" w:type="dxa"/>
            <w:tcBorders>
              <w:top w:val="single" w:color="auto" w:sz="4" w:space="0"/>
              <w:left w:val="single" w:color="auto" w:sz="4" w:space="0"/>
              <w:bottom w:val="single" w:color="auto" w:sz="4" w:space="0"/>
              <w:right w:val="single" w:color="auto" w:sz="4" w:space="0"/>
            </w:tcBorders>
            <w:vAlign w:val="center"/>
          </w:tcPr>
          <w:p w14:paraId="5ADC0A41">
            <w:pPr>
              <w:tabs>
                <w:tab w:val="left" w:pos="480"/>
              </w:tabs>
              <w:jc w:val="center"/>
              <w:rPr>
                <w:rFonts w:asciiTheme="minorEastAsia" w:hAnsiTheme="minorEastAsia"/>
                <w:sz w:val="24"/>
                <w:highlight w:val="none"/>
              </w:rPr>
            </w:pPr>
            <w:r>
              <w:rPr>
                <w:rFonts w:hint="eastAsia" w:asciiTheme="minorEastAsia" w:hAnsiTheme="minorEastAsia"/>
                <w:sz w:val="24"/>
                <w:highlight w:val="none"/>
              </w:rPr>
              <w:t>3</w:t>
            </w:r>
          </w:p>
        </w:tc>
        <w:tc>
          <w:tcPr>
            <w:tcW w:w="2662" w:type="dxa"/>
            <w:tcBorders>
              <w:top w:val="single" w:color="auto" w:sz="4" w:space="0"/>
              <w:left w:val="single" w:color="auto" w:sz="4" w:space="0"/>
              <w:bottom w:val="single" w:color="auto" w:sz="4" w:space="0"/>
              <w:right w:val="single" w:color="auto" w:sz="4" w:space="0"/>
            </w:tcBorders>
            <w:vAlign w:val="center"/>
          </w:tcPr>
          <w:p w14:paraId="46823E3F">
            <w:pPr>
              <w:tabs>
                <w:tab w:val="left" w:pos="480"/>
              </w:tabs>
              <w:jc w:val="center"/>
              <w:rPr>
                <w:rFonts w:asciiTheme="minorEastAsia" w:hAnsiTheme="minorEastAsia"/>
                <w:sz w:val="24"/>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0D9AE08A">
            <w:pPr>
              <w:tabs>
                <w:tab w:val="left" w:pos="480"/>
              </w:tabs>
              <w:jc w:val="center"/>
              <w:rPr>
                <w:rFonts w:asciiTheme="minorEastAsia" w:hAnsiTheme="minorEastAsia"/>
                <w:sz w:val="24"/>
                <w:highlight w:val="none"/>
              </w:rPr>
            </w:pPr>
          </w:p>
        </w:tc>
        <w:tc>
          <w:tcPr>
            <w:tcW w:w="1809" w:type="dxa"/>
            <w:tcBorders>
              <w:top w:val="single" w:color="auto" w:sz="4" w:space="0"/>
              <w:left w:val="single" w:color="auto" w:sz="4" w:space="0"/>
              <w:bottom w:val="single" w:color="auto" w:sz="4" w:space="0"/>
              <w:right w:val="single" w:color="auto" w:sz="4" w:space="0"/>
            </w:tcBorders>
            <w:vAlign w:val="center"/>
          </w:tcPr>
          <w:p w14:paraId="09A4C5F5">
            <w:pPr>
              <w:tabs>
                <w:tab w:val="left" w:pos="480"/>
              </w:tabs>
              <w:jc w:val="center"/>
              <w:rPr>
                <w:rFonts w:asciiTheme="minorEastAsia" w:hAnsiTheme="minorEastAsia"/>
                <w:sz w:val="24"/>
                <w:highlight w:val="none"/>
              </w:rPr>
            </w:pPr>
          </w:p>
        </w:tc>
        <w:tc>
          <w:tcPr>
            <w:tcW w:w="1560" w:type="dxa"/>
            <w:tcBorders>
              <w:top w:val="single" w:color="auto" w:sz="4" w:space="0"/>
              <w:left w:val="single" w:color="auto" w:sz="4" w:space="0"/>
              <w:bottom w:val="single" w:color="auto" w:sz="4" w:space="0"/>
              <w:right w:val="single" w:color="auto" w:sz="4" w:space="0"/>
            </w:tcBorders>
            <w:vAlign w:val="center"/>
          </w:tcPr>
          <w:p w14:paraId="114B07D9">
            <w:pPr>
              <w:tabs>
                <w:tab w:val="left" w:pos="480"/>
              </w:tabs>
              <w:jc w:val="center"/>
              <w:rPr>
                <w:rFonts w:asciiTheme="minorEastAsia" w:hAnsiTheme="minorEastAsia"/>
                <w:sz w:val="24"/>
                <w:highlight w:val="none"/>
              </w:rPr>
            </w:pPr>
          </w:p>
        </w:tc>
        <w:tc>
          <w:tcPr>
            <w:tcW w:w="1592" w:type="dxa"/>
            <w:tcBorders>
              <w:top w:val="single" w:color="auto" w:sz="4" w:space="0"/>
              <w:left w:val="single" w:color="auto" w:sz="4" w:space="0"/>
              <w:bottom w:val="single" w:color="auto" w:sz="4" w:space="0"/>
              <w:right w:val="single" w:color="auto" w:sz="4" w:space="0"/>
            </w:tcBorders>
            <w:vAlign w:val="center"/>
          </w:tcPr>
          <w:p w14:paraId="0678BA05">
            <w:pPr>
              <w:tabs>
                <w:tab w:val="left" w:pos="480"/>
              </w:tabs>
              <w:jc w:val="center"/>
              <w:rPr>
                <w:rFonts w:asciiTheme="minorEastAsia" w:hAnsiTheme="minorEastAsia"/>
                <w:sz w:val="24"/>
                <w:highlight w:val="none"/>
              </w:rPr>
            </w:pPr>
          </w:p>
        </w:tc>
      </w:tr>
      <w:tr w14:paraId="42F83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952" w:type="dxa"/>
            <w:tcBorders>
              <w:top w:val="single" w:color="auto" w:sz="4" w:space="0"/>
              <w:left w:val="single" w:color="auto" w:sz="4" w:space="0"/>
              <w:bottom w:val="single" w:color="auto" w:sz="4" w:space="0"/>
              <w:right w:val="single" w:color="auto" w:sz="4" w:space="0"/>
            </w:tcBorders>
            <w:vAlign w:val="center"/>
          </w:tcPr>
          <w:p w14:paraId="6BACEE75">
            <w:pPr>
              <w:tabs>
                <w:tab w:val="left" w:pos="480"/>
              </w:tabs>
              <w:jc w:val="center"/>
              <w:rPr>
                <w:rFonts w:asciiTheme="minorEastAsia" w:hAnsiTheme="minorEastAsia"/>
                <w:sz w:val="24"/>
                <w:highlight w:val="none"/>
              </w:rPr>
            </w:pPr>
            <w:r>
              <w:rPr>
                <w:rFonts w:hint="eastAsia" w:asciiTheme="minorEastAsia" w:hAnsiTheme="minorEastAsia"/>
                <w:sz w:val="24"/>
                <w:highlight w:val="none"/>
              </w:rPr>
              <w:t>合计</w:t>
            </w:r>
          </w:p>
        </w:tc>
        <w:tc>
          <w:tcPr>
            <w:tcW w:w="8757" w:type="dxa"/>
            <w:gridSpan w:val="5"/>
            <w:tcBorders>
              <w:top w:val="single" w:color="auto" w:sz="4" w:space="0"/>
              <w:left w:val="single" w:color="auto" w:sz="4" w:space="0"/>
              <w:bottom w:val="single" w:color="auto" w:sz="4" w:space="0"/>
              <w:right w:val="single" w:color="auto" w:sz="4" w:space="0"/>
            </w:tcBorders>
            <w:vAlign w:val="center"/>
          </w:tcPr>
          <w:p w14:paraId="6444EB00">
            <w:pPr>
              <w:tabs>
                <w:tab w:val="left" w:pos="480"/>
              </w:tabs>
              <w:rPr>
                <w:rFonts w:asciiTheme="minorEastAsia" w:hAnsiTheme="minorEastAsia"/>
                <w:sz w:val="24"/>
                <w:szCs w:val="28"/>
                <w:highlight w:val="none"/>
              </w:rPr>
            </w:pPr>
            <w:r>
              <w:rPr>
                <w:rFonts w:hint="eastAsia" w:asciiTheme="minorEastAsia" w:hAnsiTheme="minorEastAsia"/>
                <w:sz w:val="24"/>
                <w:szCs w:val="28"/>
                <w:highlight w:val="none"/>
              </w:rPr>
              <w:t>人民币（大写）：</w:t>
            </w:r>
            <w:r>
              <w:rPr>
                <w:rFonts w:hint="eastAsia" w:asciiTheme="minorEastAsia" w:hAnsiTheme="minorEastAsia"/>
                <w:bCs/>
                <w:sz w:val="24"/>
                <w:szCs w:val="28"/>
                <w:highlight w:val="none"/>
              </w:rPr>
              <w:t>元整（</w:t>
            </w:r>
            <w:r>
              <w:rPr>
                <w:rFonts w:hint="eastAsia" w:asciiTheme="minorEastAsia" w:hAnsiTheme="minorEastAsia"/>
                <w:sz w:val="24"/>
                <w:szCs w:val="28"/>
                <w:highlight w:val="none"/>
              </w:rPr>
              <w:t>￥</w:t>
            </w:r>
            <w:r>
              <w:rPr>
                <w:rFonts w:hint="eastAsia" w:asciiTheme="minorEastAsia" w:hAnsiTheme="minorEastAsia"/>
                <w:bCs/>
                <w:sz w:val="24"/>
                <w:szCs w:val="28"/>
                <w:highlight w:val="none"/>
              </w:rPr>
              <w:t>）</w:t>
            </w:r>
          </w:p>
        </w:tc>
      </w:tr>
    </w:tbl>
    <w:p w14:paraId="47C060BE">
      <w:pPr>
        <w:pStyle w:val="2"/>
        <w:ind w:firstLine="105" w:firstLineChars="50"/>
        <w:rPr>
          <w:rFonts w:asciiTheme="minorEastAsia" w:hAnsiTheme="minorEastAsia" w:eastAsiaTheme="minorEastAsia"/>
          <w:highlight w:val="none"/>
          <w:lang w:eastAsia="zh-CN"/>
        </w:rPr>
      </w:pPr>
      <w:r>
        <w:rPr>
          <w:rFonts w:hint="eastAsia" w:asciiTheme="minorEastAsia" w:hAnsiTheme="minorEastAsia" w:eastAsiaTheme="minorEastAsia"/>
          <w:highlight w:val="none"/>
          <w:lang w:eastAsia="zh-CN"/>
        </w:rPr>
        <w:t>项目解释说明：</w:t>
      </w:r>
    </w:p>
    <w:p w14:paraId="3A4C37CF">
      <w:pPr>
        <w:tabs>
          <w:tab w:val="left" w:pos="480"/>
        </w:tabs>
        <w:spacing w:line="360" w:lineRule="auto"/>
        <w:rPr>
          <w:rFonts w:cs="宋体" w:asciiTheme="minorEastAsia" w:hAnsiTheme="minorEastAsia"/>
          <w:b/>
          <w:sz w:val="24"/>
          <w:highlight w:val="none"/>
        </w:rPr>
      </w:pPr>
      <w:r>
        <w:rPr>
          <w:rFonts w:hint="eastAsia" w:cs="宋体" w:asciiTheme="minorEastAsia" w:hAnsiTheme="minorEastAsia"/>
          <w:b/>
          <w:sz w:val="24"/>
          <w:highlight w:val="none"/>
        </w:rPr>
        <w:t>二、合同价款</w:t>
      </w:r>
    </w:p>
    <w:p w14:paraId="1905D16D">
      <w:pPr>
        <w:tabs>
          <w:tab w:val="left" w:pos="480"/>
        </w:tabs>
        <w:spacing w:line="360" w:lineRule="auto"/>
        <w:ind w:firstLine="480" w:firstLineChars="200"/>
        <w:rPr>
          <w:rFonts w:cs="宋体" w:asciiTheme="minorEastAsia" w:hAnsiTheme="minorEastAsia"/>
          <w:b/>
          <w:sz w:val="24"/>
          <w:highlight w:val="none"/>
        </w:rPr>
      </w:pPr>
      <w:r>
        <w:rPr>
          <w:rFonts w:hint="eastAsia" w:cs="宋体" w:asciiTheme="minorEastAsia" w:hAnsiTheme="minorEastAsia"/>
          <w:sz w:val="24"/>
          <w:highlight w:val="none"/>
        </w:rPr>
        <w:t>（一）合同总价款为人民币（大写）</w:t>
      </w:r>
      <w:r>
        <w:rPr>
          <w:rFonts w:hint="eastAsia" w:cs="宋体" w:asciiTheme="minorEastAsia" w:hAnsiTheme="minorEastAsia"/>
          <w:sz w:val="24"/>
          <w:highlight w:val="none"/>
          <w:u w:val="single"/>
        </w:rPr>
        <w:t xml:space="preserve">          </w:t>
      </w:r>
      <w:r>
        <w:rPr>
          <w:rFonts w:hint="eastAsia" w:cs="宋体" w:asciiTheme="minorEastAsia" w:hAnsiTheme="minorEastAsia"/>
          <w:sz w:val="24"/>
          <w:highlight w:val="none"/>
        </w:rPr>
        <w:t>（￥</w:t>
      </w:r>
      <w:r>
        <w:rPr>
          <w:rFonts w:hint="eastAsia" w:cs="宋体" w:asciiTheme="minorEastAsia" w:hAnsiTheme="minorEastAsia"/>
          <w:sz w:val="24"/>
          <w:highlight w:val="none"/>
          <w:u w:val="single"/>
        </w:rPr>
        <w:t xml:space="preserve">          </w:t>
      </w:r>
      <w:r>
        <w:rPr>
          <w:rFonts w:hint="eastAsia" w:cs="宋体" w:asciiTheme="minorEastAsia" w:hAnsiTheme="minorEastAsia"/>
          <w:sz w:val="24"/>
          <w:highlight w:val="none"/>
        </w:rPr>
        <w:t>元）。</w:t>
      </w:r>
    </w:p>
    <w:p w14:paraId="0F3FF22E">
      <w:pPr>
        <w:tabs>
          <w:tab w:val="left" w:pos="480"/>
        </w:tabs>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（二）合同总价包括(如有)：软硬件供应价款（含适配调试、接口集成价款）、运输价款（含保险费价款）、安装调试价款、检测验收价款和其他价款。</w:t>
      </w:r>
    </w:p>
    <w:p w14:paraId="233A8F4D">
      <w:pPr>
        <w:tabs>
          <w:tab w:val="left" w:pos="480"/>
        </w:tabs>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（三）合同总价一次性包死，不受市场价格变化因素的影响。</w:t>
      </w:r>
    </w:p>
    <w:p w14:paraId="1898467B">
      <w:pPr>
        <w:tabs>
          <w:tab w:val="left" w:pos="480"/>
        </w:tabs>
        <w:spacing w:line="360" w:lineRule="auto"/>
        <w:ind w:firstLine="241" w:firstLineChars="100"/>
        <w:rPr>
          <w:rFonts w:cs="宋体" w:asciiTheme="minorEastAsia" w:hAnsiTheme="minorEastAsia"/>
          <w:b/>
          <w:sz w:val="24"/>
          <w:highlight w:val="none"/>
        </w:rPr>
      </w:pPr>
      <w:r>
        <w:rPr>
          <w:rFonts w:hint="eastAsia" w:cs="宋体" w:asciiTheme="minorEastAsia" w:hAnsiTheme="minorEastAsia"/>
          <w:b/>
          <w:sz w:val="24"/>
          <w:highlight w:val="none"/>
        </w:rPr>
        <w:t>三、款项结算</w:t>
      </w:r>
    </w:p>
    <w:p w14:paraId="24D4976E">
      <w:pPr>
        <w:tabs>
          <w:tab w:val="left" w:pos="480"/>
        </w:tabs>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（一）项目建设完成并验收合格，同时提供全额增值税发票后</w:t>
      </w:r>
      <w:r>
        <w:rPr>
          <w:rFonts w:cs="宋体" w:asciiTheme="minorEastAsia" w:hAnsiTheme="minorEastAsia"/>
          <w:sz w:val="24"/>
          <w:highlight w:val="none"/>
        </w:rPr>
        <w:t>30</w:t>
      </w:r>
      <w:r>
        <w:rPr>
          <w:rFonts w:hint="eastAsia" w:cs="宋体" w:asciiTheme="minorEastAsia" w:hAnsiTheme="minorEastAsia"/>
          <w:sz w:val="24"/>
          <w:highlight w:val="none"/>
        </w:rPr>
        <w:t>日内，</w:t>
      </w:r>
      <w:r>
        <w:rPr>
          <w:rFonts w:hint="eastAsia" w:cs="宋体" w:asciiTheme="minorEastAsia" w:hAnsiTheme="minorEastAsia"/>
          <w:sz w:val="24"/>
          <w:highlight w:val="none"/>
          <w:u w:val="single"/>
        </w:rPr>
        <w:t xml:space="preserve">       方</w:t>
      </w:r>
      <w:r>
        <w:rPr>
          <w:rFonts w:hint="eastAsia" w:cs="宋体" w:asciiTheme="minorEastAsia" w:hAnsiTheme="minorEastAsia"/>
          <w:sz w:val="24"/>
          <w:highlight w:val="none"/>
        </w:rPr>
        <w:t>支付合同总价款的90%，即人民币（大写）</w:t>
      </w:r>
      <w:r>
        <w:rPr>
          <w:rFonts w:hint="eastAsia" w:cs="宋体" w:asciiTheme="minorEastAsia" w:hAnsiTheme="minorEastAsia"/>
          <w:sz w:val="24"/>
          <w:highlight w:val="none"/>
          <w:u w:val="single"/>
        </w:rPr>
        <w:t xml:space="preserve">          </w:t>
      </w:r>
      <w:r>
        <w:rPr>
          <w:rFonts w:hint="eastAsia" w:cs="宋体" w:asciiTheme="minorEastAsia" w:hAnsiTheme="minorEastAsia"/>
          <w:sz w:val="24"/>
          <w:highlight w:val="none"/>
        </w:rPr>
        <w:t>元整（￥：</w:t>
      </w:r>
      <w:r>
        <w:rPr>
          <w:rFonts w:hint="eastAsia" w:cs="宋体" w:asciiTheme="minorEastAsia" w:hAnsiTheme="minorEastAsia"/>
          <w:sz w:val="24"/>
          <w:highlight w:val="none"/>
          <w:u w:val="single"/>
        </w:rPr>
        <w:t xml:space="preserve">          </w:t>
      </w:r>
      <w:r>
        <w:rPr>
          <w:rFonts w:hint="eastAsia" w:cs="宋体" w:asciiTheme="minorEastAsia" w:hAnsiTheme="minorEastAsia"/>
          <w:sz w:val="24"/>
          <w:highlight w:val="none"/>
        </w:rPr>
        <w:t>元）。</w:t>
      </w:r>
    </w:p>
    <w:p w14:paraId="0AC21A06">
      <w:pPr>
        <w:tabs>
          <w:tab w:val="left" w:pos="480"/>
        </w:tabs>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（二）自验收合格之日起，一年后若无质量等问题，供货商提供付款申请，</w:t>
      </w:r>
      <w:r>
        <w:rPr>
          <w:rFonts w:cs="宋体" w:asciiTheme="minorEastAsia" w:hAnsiTheme="minorEastAsia"/>
          <w:sz w:val="24"/>
          <w:highlight w:val="none"/>
        </w:rPr>
        <w:t>30</w:t>
      </w:r>
      <w:r>
        <w:rPr>
          <w:rFonts w:hint="eastAsia" w:cs="宋体" w:asciiTheme="minorEastAsia" w:hAnsiTheme="minorEastAsia"/>
          <w:sz w:val="24"/>
          <w:highlight w:val="none"/>
        </w:rPr>
        <w:t>个工作日内</w:t>
      </w:r>
      <w:r>
        <w:rPr>
          <w:rFonts w:hint="eastAsia" w:cs="宋体" w:asciiTheme="minorEastAsia" w:hAnsiTheme="minorEastAsia"/>
          <w:sz w:val="24"/>
          <w:highlight w:val="none"/>
          <w:u w:val="single"/>
        </w:rPr>
        <w:t xml:space="preserve">       方</w:t>
      </w:r>
      <w:r>
        <w:rPr>
          <w:rFonts w:hint="eastAsia" w:cs="宋体" w:asciiTheme="minorEastAsia" w:hAnsiTheme="minorEastAsia"/>
          <w:sz w:val="24"/>
          <w:highlight w:val="none"/>
        </w:rPr>
        <w:t>支付合同总价款的</w:t>
      </w:r>
      <w:r>
        <w:rPr>
          <w:rFonts w:cs="宋体" w:asciiTheme="minorEastAsia" w:hAnsiTheme="minorEastAsia"/>
          <w:sz w:val="24"/>
          <w:highlight w:val="none"/>
        </w:rPr>
        <w:t>10</w:t>
      </w:r>
      <w:r>
        <w:rPr>
          <w:rFonts w:hint="eastAsia" w:cs="宋体" w:asciiTheme="minorEastAsia" w:hAnsiTheme="minorEastAsia"/>
          <w:sz w:val="24"/>
          <w:highlight w:val="none"/>
        </w:rPr>
        <w:t>%，即人民币（大写</w:t>
      </w:r>
      <w:r>
        <w:rPr>
          <w:rFonts w:hint="eastAsia" w:cs="宋体" w:asciiTheme="minorEastAsia" w:hAnsiTheme="minorEastAsia"/>
          <w:sz w:val="24"/>
          <w:highlight w:val="none"/>
          <w:u w:val="single"/>
        </w:rPr>
        <w:t xml:space="preserve">          </w:t>
      </w:r>
      <w:r>
        <w:rPr>
          <w:rFonts w:hint="eastAsia" w:cs="宋体" w:asciiTheme="minorEastAsia" w:hAnsiTheme="minorEastAsia"/>
          <w:sz w:val="24"/>
          <w:highlight w:val="none"/>
        </w:rPr>
        <w:t>）整（￥：</w:t>
      </w:r>
      <w:r>
        <w:rPr>
          <w:rFonts w:hint="eastAsia" w:cs="宋体" w:asciiTheme="minorEastAsia" w:hAnsiTheme="minorEastAsia"/>
          <w:sz w:val="24"/>
          <w:highlight w:val="none"/>
          <w:u w:val="single"/>
        </w:rPr>
        <w:t xml:space="preserve">          </w:t>
      </w:r>
      <w:r>
        <w:rPr>
          <w:rFonts w:hint="eastAsia" w:cs="宋体" w:asciiTheme="minorEastAsia" w:hAnsiTheme="minorEastAsia"/>
          <w:sz w:val="24"/>
          <w:highlight w:val="none"/>
        </w:rPr>
        <w:t>元）。</w:t>
      </w:r>
    </w:p>
    <w:p w14:paraId="536D2175">
      <w:pPr>
        <w:tabs>
          <w:tab w:val="left" w:pos="480"/>
        </w:tabs>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（三）支付方式：银行转账。</w:t>
      </w:r>
    </w:p>
    <w:p w14:paraId="1CA97812">
      <w:pPr>
        <w:tabs>
          <w:tab w:val="left" w:pos="480"/>
        </w:tabs>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（四）结算方式：供货商开具发票，持供货合同、验收单、发票结算。若供货商届时未提供全额合规发票，付款期限顺延，且不承担任何责任。</w:t>
      </w:r>
    </w:p>
    <w:p w14:paraId="2C7019F7">
      <w:pPr>
        <w:tabs>
          <w:tab w:val="left" w:pos="480"/>
        </w:tabs>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验收合格后填写项目验收单（一式伍份）、发票、发票连号证明（如需），供货商持成供货合同、发票、验收单，与进行结算。</w:t>
      </w:r>
    </w:p>
    <w:p w14:paraId="63A0E0E2">
      <w:pPr>
        <w:pStyle w:val="2"/>
        <w:ind w:firstLine="360" w:firstLineChars="150"/>
        <w:rPr>
          <w:rFonts w:asciiTheme="minorEastAsia" w:hAnsiTheme="minorEastAsia" w:eastAsiaTheme="minorEastAsia"/>
          <w:sz w:val="24"/>
          <w:highlight w:val="none"/>
          <w:lang w:eastAsia="zh-CN"/>
        </w:rPr>
      </w:pPr>
      <w:r>
        <w:rPr>
          <w:rFonts w:hint="eastAsia" w:asciiTheme="minorEastAsia" w:hAnsiTheme="minorEastAsia" w:eastAsiaTheme="minorEastAsia"/>
          <w:sz w:val="24"/>
          <w:highlight w:val="none"/>
          <w:lang w:eastAsia="zh-CN"/>
        </w:rPr>
        <w:t>（五）供货商收款账户</w:t>
      </w:r>
    </w:p>
    <w:p w14:paraId="2DE03B3C">
      <w:pPr>
        <w:pStyle w:val="2"/>
        <w:ind w:firstLine="360" w:firstLineChars="150"/>
        <w:rPr>
          <w:rFonts w:asciiTheme="minorEastAsia" w:hAnsiTheme="minorEastAsia" w:eastAsiaTheme="minorEastAsia"/>
          <w:sz w:val="24"/>
          <w:highlight w:val="none"/>
          <w:lang w:eastAsia="zh-CN"/>
        </w:rPr>
      </w:pPr>
      <w:r>
        <w:rPr>
          <w:rFonts w:hint="eastAsia" w:asciiTheme="minorEastAsia" w:hAnsiTheme="minorEastAsia" w:eastAsiaTheme="minorEastAsia"/>
          <w:sz w:val="24"/>
          <w:highlight w:val="none"/>
          <w:lang w:eastAsia="zh-CN"/>
        </w:rPr>
        <w:t>开户银行：</w:t>
      </w:r>
    </w:p>
    <w:p w14:paraId="0E4D2D50">
      <w:pPr>
        <w:pStyle w:val="2"/>
        <w:ind w:firstLine="360" w:firstLineChars="150"/>
        <w:rPr>
          <w:rFonts w:asciiTheme="minorEastAsia" w:hAnsiTheme="minorEastAsia" w:eastAsiaTheme="minorEastAsia"/>
          <w:sz w:val="24"/>
          <w:highlight w:val="none"/>
          <w:lang w:eastAsia="zh-CN"/>
        </w:rPr>
      </w:pPr>
      <w:r>
        <w:rPr>
          <w:rFonts w:hint="eastAsia" w:asciiTheme="minorEastAsia" w:hAnsiTheme="minorEastAsia" w:eastAsiaTheme="minorEastAsia"/>
          <w:sz w:val="24"/>
          <w:highlight w:val="none"/>
          <w:lang w:eastAsia="zh-CN"/>
        </w:rPr>
        <w:t>账户名称：</w:t>
      </w:r>
    </w:p>
    <w:p w14:paraId="41D01899">
      <w:pPr>
        <w:pStyle w:val="2"/>
        <w:ind w:firstLine="360" w:firstLineChars="150"/>
        <w:rPr>
          <w:rFonts w:asciiTheme="minorEastAsia" w:hAnsiTheme="minorEastAsia" w:eastAsiaTheme="minorEastAsia"/>
          <w:sz w:val="24"/>
          <w:highlight w:val="none"/>
          <w:lang w:eastAsia="zh-CN"/>
        </w:rPr>
      </w:pPr>
      <w:r>
        <w:rPr>
          <w:rFonts w:hint="eastAsia" w:asciiTheme="minorEastAsia" w:hAnsiTheme="minorEastAsia" w:eastAsiaTheme="minorEastAsia"/>
          <w:sz w:val="24"/>
          <w:highlight w:val="none"/>
          <w:lang w:eastAsia="zh-CN"/>
        </w:rPr>
        <w:t>账号：</w:t>
      </w:r>
    </w:p>
    <w:p w14:paraId="674C8ACF">
      <w:pPr>
        <w:pStyle w:val="2"/>
        <w:ind w:firstLine="360" w:firstLineChars="150"/>
        <w:rPr>
          <w:rFonts w:asciiTheme="minorEastAsia" w:hAnsiTheme="minorEastAsia" w:eastAsiaTheme="minorEastAsia"/>
          <w:sz w:val="24"/>
          <w:highlight w:val="none"/>
          <w:lang w:eastAsia="zh-CN"/>
        </w:rPr>
      </w:pPr>
      <w:r>
        <w:rPr>
          <w:rFonts w:hint="eastAsia" w:asciiTheme="minorEastAsia" w:hAnsiTheme="minorEastAsia" w:eastAsiaTheme="minorEastAsia"/>
          <w:sz w:val="24"/>
          <w:highlight w:val="none"/>
          <w:lang w:eastAsia="zh-CN"/>
        </w:rPr>
        <w:t>（六）发票</w:t>
      </w:r>
    </w:p>
    <w:p w14:paraId="7E76103F">
      <w:pPr>
        <w:pStyle w:val="2"/>
        <w:ind w:firstLine="360" w:firstLineChars="150"/>
        <w:rPr>
          <w:rFonts w:asciiTheme="minorEastAsia" w:hAnsiTheme="minorEastAsia" w:eastAsiaTheme="minorEastAsia"/>
          <w:sz w:val="24"/>
          <w:highlight w:val="none"/>
          <w:lang w:eastAsia="zh-CN"/>
        </w:rPr>
      </w:pPr>
      <w:r>
        <w:rPr>
          <w:rFonts w:hint="eastAsia" w:asciiTheme="minorEastAsia" w:hAnsiTheme="minorEastAsia" w:eastAsiaTheme="minorEastAsia"/>
          <w:sz w:val="24"/>
          <w:highlight w:val="none"/>
          <w:lang w:eastAsia="zh-CN"/>
        </w:rPr>
        <w:t>公司名称：</w:t>
      </w:r>
    </w:p>
    <w:p w14:paraId="125A340E">
      <w:pPr>
        <w:pStyle w:val="2"/>
        <w:ind w:firstLine="360" w:firstLineChars="150"/>
        <w:rPr>
          <w:rFonts w:asciiTheme="minorEastAsia" w:hAnsiTheme="minorEastAsia" w:eastAsiaTheme="minorEastAsia"/>
          <w:sz w:val="24"/>
          <w:highlight w:val="none"/>
          <w:lang w:eastAsia="zh-CN"/>
        </w:rPr>
      </w:pPr>
      <w:r>
        <w:rPr>
          <w:rFonts w:hint="eastAsia" w:asciiTheme="minorEastAsia" w:hAnsiTheme="minorEastAsia" w:eastAsiaTheme="minorEastAsia"/>
          <w:sz w:val="24"/>
          <w:highlight w:val="none"/>
          <w:lang w:eastAsia="zh-CN"/>
        </w:rPr>
        <w:t>纳税人识别号：</w:t>
      </w:r>
    </w:p>
    <w:p w14:paraId="298BB79B">
      <w:pPr>
        <w:pStyle w:val="2"/>
        <w:ind w:firstLine="360" w:firstLineChars="150"/>
        <w:rPr>
          <w:rFonts w:asciiTheme="minorEastAsia" w:hAnsiTheme="minorEastAsia" w:eastAsiaTheme="minorEastAsia"/>
          <w:sz w:val="24"/>
          <w:highlight w:val="none"/>
          <w:lang w:eastAsia="zh-CN"/>
        </w:rPr>
      </w:pPr>
      <w:r>
        <w:rPr>
          <w:rFonts w:hint="eastAsia" w:asciiTheme="minorEastAsia" w:hAnsiTheme="minorEastAsia" w:eastAsiaTheme="minorEastAsia"/>
          <w:sz w:val="24"/>
          <w:highlight w:val="none"/>
          <w:lang w:eastAsia="zh-CN"/>
        </w:rPr>
        <w:t>银行账户：</w:t>
      </w:r>
    </w:p>
    <w:p w14:paraId="700F89D3">
      <w:pPr>
        <w:pStyle w:val="2"/>
        <w:ind w:firstLine="360" w:firstLineChars="150"/>
        <w:rPr>
          <w:rFonts w:asciiTheme="minorEastAsia" w:hAnsiTheme="minorEastAsia" w:eastAsiaTheme="minorEastAsia"/>
          <w:sz w:val="24"/>
          <w:highlight w:val="none"/>
          <w:lang w:eastAsia="zh-CN"/>
        </w:rPr>
      </w:pPr>
      <w:r>
        <w:rPr>
          <w:rFonts w:hint="eastAsia" w:asciiTheme="minorEastAsia" w:hAnsiTheme="minorEastAsia" w:eastAsiaTheme="minorEastAsia"/>
          <w:sz w:val="24"/>
          <w:highlight w:val="none"/>
          <w:lang w:eastAsia="zh-CN"/>
        </w:rPr>
        <w:t>开户银行：</w:t>
      </w:r>
    </w:p>
    <w:p w14:paraId="1F275FA9">
      <w:pPr>
        <w:pStyle w:val="2"/>
        <w:ind w:firstLine="360" w:firstLineChars="150"/>
        <w:rPr>
          <w:rFonts w:asciiTheme="minorEastAsia" w:hAnsiTheme="minorEastAsia" w:eastAsiaTheme="minorEastAsia"/>
          <w:sz w:val="24"/>
          <w:highlight w:val="none"/>
          <w:lang w:eastAsia="zh-CN"/>
        </w:rPr>
      </w:pPr>
      <w:r>
        <w:rPr>
          <w:rFonts w:hint="eastAsia" w:asciiTheme="minorEastAsia" w:hAnsiTheme="minorEastAsia" w:eastAsiaTheme="minorEastAsia"/>
          <w:sz w:val="24"/>
          <w:highlight w:val="none"/>
          <w:lang w:eastAsia="zh-CN"/>
        </w:rPr>
        <w:t>地址：</w:t>
      </w:r>
    </w:p>
    <w:p w14:paraId="448DA18C">
      <w:pPr>
        <w:pStyle w:val="2"/>
        <w:ind w:firstLine="360" w:firstLineChars="150"/>
        <w:rPr>
          <w:rFonts w:asciiTheme="minorEastAsia" w:hAnsiTheme="minorEastAsia" w:eastAsiaTheme="minorEastAsia"/>
          <w:sz w:val="24"/>
          <w:highlight w:val="none"/>
          <w:lang w:eastAsia="zh-CN"/>
        </w:rPr>
      </w:pPr>
      <w:r>
        <w:rPr>
          <w:rFonts w:hint="eastAsia" w:asciiTheme="minorEastAsia" w:hAnsiTheme="minorEastAsia" w:eastAsiaTheme="minorEastAsia"/>
          <w:sz w:val="24"/>
          <w:highlight w:val="none"/>
          <w:lang w:eastAsia="zh-CN"/>
        </w:rPr>
        <w:t>电话：</w:t>
      </w:r>
    </w:p>
    <w:p w14:paraId="087B58D2">
      <w:pPr>
        <w:spacing w:line="360" w:lineRule="auto"/>
        <w:ind w:firstLine="241" w:firstLineChars="100"/>
        <w:rPr>
          <w:rFonts w:cs="宋体" w:asciiTheme="minorEastAsia" w:hAnsiTheme="minorEastAsia"/>
          <w:b/>
          <w:sz w:val="24"/>
          <w:highlight w:val="none"/>
        </w:rPr>
      </w:pPr>
      <w:r>
        <w:rPr>
          <w:rFonts w:hint="eastAsia" w:cs="宋体" w:asciiTheme="minorEastAsia" w:hAnsiTheme="minorEastAsia"/>
          <w:b/>
          <w:sz w:val="24"/>
          <w:highlight w:val="none"/>
        </w:rPr>
        <w:t>四、服务条件：</w:t>
      </w:r>
    </w:p>
    <w:p w14:paraId="7F0B2569">
      <w:pPr>
        <w:tabs>
          <w:tab w:val="left" w:pos="480"/>
        </w:tabs>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（一）交货地点：西安市第三医院指定地点。</w:t>
      </w:r>
    </w:p>
    <w:p w14:paraId="69A72507">
      <w:pPr>
        <w:tabs>
          <w:tab w:val="left" w:pos="480"/>
        </w:tabs>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（二）交货期：自合同签订之日起</w:t>
      </w:r>
      <w:r>
        <w:rPr>
          <w:rFonts w:hint="eastAsia" w:cs="宋体" w:asciiTheme="minorEastAsia" w:hAnsiTheme="minorEastAsia"/>
          <w:sz w:val="24"/>
          <w:highlight w:val="none"/>
          <w:u w:val="single"/>
        </w:rPr>
        <w:t xml:space="preserve">          </w:t>
      </w:r>
      <w:r>
        <w:rPr>
          <w:rFonts w:hint="eastAsia" w:cs="宋体" w:asciiTheme="minorEastAsia" w:hAnsiTheme="minorEastAsia"/>
          <w:sz w:val="24"/>
          <w:highlight w:val="none"/>
        </w:rPr>
        <w:t>个工作日内交货、安装、调试完毕，并交付验收合格,不得延期</w:t>
      </w:r>
      <w:r>
        <w:rPr>
          <w:rFonts w:cs="宋体" w:asciiTheme="minorEastAsia" w:hAnsiTheme="minorEastAsia"/>
          <w:sz w:val="24"/>
          <w:highlight w:val="none"/>
        </w:rPr>
        <w:t>。</w:t>
      </w:r>
    </w:p>
    <w:p w14:paraId="4C446F5C">
      <w:pPr>
        <w:tabs>
          <w:tab w:val="left" w:pos="480"/>
        </w:tabs>
        <w:spacing w:line="360" w:lineRule="auto"/>
        <w:rPr>
          <w:rFonts w:cs="宋体" w:asciiTheme="minorEastAsia" w:hAnsiTheme="minorEastAsia"/>
          <w:b/>
          <w:sz w:val="24"/>
          <w:highlight w:val="none"/>
        </w:rPr>
      </w:pPr>
      <w:r>
        <w:rPr>
          <w:rFonts w:hint="eastAsia" w:cs="宋体" w:asciiTheme="minorEastAsia" w:hAnsiTheme="minorEastAsia"/>
          <w:b/>
          <w:sz w:val="24"/>
          <w:highlight w:val="none"/>
        </w:rPr>
        <w:t xml:space="preserve">  五、双方的权利和义务</w:t>
      </w:r>
    </w:p>
    <w:p w14:paraId="7870F2E3">
      <w:pPr>
        <w:tabs>
          <w:tab w:val="left" w:pos="480"/>
        </w:tabs>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（一）采购人的权利和义务</w:t>
      </w:r>
    </w:p>
    <w:p w14:paraId="2022DFD5">
      <w:pPr>
        <w:tabs>
          <w:tab w:val="left" w:pos="480"/>
        </w:tabs>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1、采购人权利：组织使用单位严格按照招标文件及投标文件要求和标准验收货物；采购人应配合供货商的工作，按时提供相应的数据、信息和资料，并保证其正确性、真实性。</w:t>
      </w:r>
    </w:p>
    <w:p w14:paraId="74F1C179">
      <w:pPr>
        <w:tabs>
          <w:tab w:val="left" w:pos="480"/>
        </w:tabs>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2、积极配合供货商验收、安装、调试工作。项目实施过程中，采购人有权利不定时、不定方式对安装过程进行监控，如发现问题，供货商应立即整改，否则采购人有权利解除合同，采购人将不对供货商进行任何赔偿，由此对采购人造成的损失由供货商负责。</w:t>
      </w:r>
    </w:p>
    <w:p w14:paraId="799829A7">
      <w:pPr>
        <w:tabs>
          <w:tab w:val="left" w:pos="480"/>
        </w:tabs>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（二）供货商的权利和义务</w:t>
      </w:r>
    </w:p>
    <w:p w14:paraId="5D82DEAE">
      <w:pPr>
        <w:tabs>
          <w:tab w:val="left" w:pos="480"/>
        </w:tabs>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1、按照合同约定时间，按采购人指定地点提供货物，配合验收工作，并负责安装、调试、提供现场技术培训，保证使用人员正常操作设备的各种功能。提供优质的售后服务。供货商保证在项目实施过程中采购人的网络、其他相关软件不受影响，可正常运行。</w:t>
      </w:r>
    </w:p>
    <w:p w14:paraId="00A5B286">
      <w:pPr>
        <w:tabs>
          <w:tab w:val="left" w:pos="480"/>
        </w:tabs>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2、供货商保证所提供的软件及硬件符合采购人总体要求，技术服务达标、配置合理，满足磋商文件中所有功能及技术要求。</w:t>
      </w:r>
    </w:p>
    <w:p w14:paraId="6FBE7513">
      <w:pPr>
        <w:tabs>
          <w:tab w:val="left" w:pos="480"/>
        </w:tabs>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3、供货商应向采购人提交项目实施过程中的所有资料，以便采购人人员日后管理和维护。</w:t>
      </w:r>
    </w:p>
    <w:p w14:paraId="789E5528">
      <w:pPr>
        <w:tabs>
          <w:tab w:val="left" w:pos="480"/>
        </w:tabs>
        <w:spacing w:line="360" w:lineRule="auto"/>
        <w:ind w:firstLine="241" w:firstLineChars="100"/>
        <w:rPr>
          <w:rFonts w:cs="宋体" w:asciiTheme="minorEastAsia" w:hAnsiTheme="minorEastAsia"/>
          <w:b/>
          <w:sz w:val="24"/>
          <w:highlight w:val="none"/>
        </w:rPr>
      </w:pPr>
      <w:r>
        <w:rPr>
          <w:rFonts w:hint="eastAsia" w:cs="宋体" w:asciiTheme="minorEastAsia" w:hAnsiTheme="minorEastAsia"/>
          <w:b/>
          <w:sz w:val="24"/>
          <w:highlight w:val="none"/>
        </w:rPr>
        <w:t>六、质量保证</w:t>
      </w:r>
    </w:p>
    <w:p w14:paraId="6D35E3A1">
      <w:pPr>
        <w:tabs>
          <w:tab w:val="left" w:pos="480"/>
        </w:tabs>
        <w:spacing w:line="360" w:lineRule="auto"/>
        <w:ind w:firstLine="600" w:firstLineChars="250"/>
        <w:rPr>
          <w:rFonts w:cs="宋体" w:asciiTheme="minorEastAsia" w:hAnsiTheme="minorEastAsia"/>
          <w:sz w:val="24"/>
          <w:highlight w:val="none"/>
        </w:rPr>
      </w:pPr>
      <w:r>
        <w:rPr>
          <w:rFonts w:hint="eastAsia" w:cs="宋体" w:asciiTheme="minorEastAsia" w:hAnsiTheme="minorEastAsia"/>
          <w:sz w:val="24"/>
          <w:highlight w:val="none"/>
        </w:rPr>
        <w:t>供货商所供货物必须执行下列条款：</w:t>
      </w:r>
    </w:p>
    <w:p w14:paraId="476A7A52">
      <w:pPr>
        <w:tabs>
          <w:tab w:val="left" w:pos="480"/>
        </w:tabs>
        <w:spacing w:line="360" w:lineRule="auto"/>
        <w:ind w:firstLine="360" w:firstLineChars="150"/>
        <w:rPr>
          <w:rFonts w:cs="宋体" w:asciiTheme="minorEastAsia" w:hAnsiTheme="minorEastAsia"/>
          <w:sz w:val="24"/>
          <w:highlight w:val="none"/>
        </w:rPr>
      </w:pPr>
      <w:r>
        <w:rPr>
          <w:rFonts w:hint="eastAsia" w:cs="宋体" w:asciiTheme="minorEastAsia" w:hAnsiTheme="minorEastAsia"/>
          <w:sz w:val="24"/>
          <w:highlight w:val="none"/>
        </w:rPr>
        <w:t>（一）保证技术指标先进、质量性能可靠、进货渠道正常，配置合理，全面满足招标文件要求。</w:t>
      </w:r>
    </w:p>
    <w:p w14:paraId="5AE365BE">
      <w:pPr>
        <w:tabs>
          <w:tab w:val="left" w:pos="480"/>
        </w:tabs>
        <w:spacing w:line="360" w:lineRule="auto"/>
        <w:ind w:firstLine="360" w:firstLineChars="150"/>
        <w:rPr>
          <w:rFonts w:cs="宋体" w:asciiTheme="minorEastAsia" w:hAnsiTheme="minorEastAsia"/>
          <w:sz w:val="24"/>
          <w:highlight w:val="none"/>
        </w:rPr>
      </w:pPr>
      <w:r>
        <w:rPr>
          <w:rFonts w:hint="eastAsia" w:cs="宋体" w:asciiTheme="minorEastAsia" w:hAnsiTheme="minorEastAsia"/>
          <w:sz w:val="24"/>
          <w:highlight w:val="none"/>
        </w:rPr>
        <w:t>（二）符合国家有关规范要求，确保达到最佳运行状态，对于由于产品设计、工艺或材料的缺陷而产生的质量问题负责。</w:t>
      </w:r>
    </w:p>
    <w:p w14:paraId="60C30E93">
      <w:pPr>
        <w:tabs>
          <w:tab w:val="left" w:pos="480"/>
        </w:tabs>
        <w:spacing w:line="360" w:lineRule="auto"/>
        <w:ind w:firstLine="360" w:firstLineChars="150"/>
        <w:rPr>
          <w:rFonts w:cs="宋体" w:asciiTheme="minorEastAsia" w:hAnsiTheme="minorEastAsia"/>
          <w:sz w:val="24"/>
          <w:highlight w:val="none"/>
        </w:rPr>
      </w:pPr>
      <w:r>
        <w:rPr>
          <w:rFonts w:hint="eastAsia" w:cs="宋体" w:asciiTheme="minorEastAsia" w:hAnsiTheme="minorEastAsia"/>
          <w:sz w:val="24"/>
          <w:highlight w:val="none"/>
        </w:rPr>
        <w:t>（三）具有良好的外观，适合安装场所的使用。</w:t>
      </w:r>
    </w:p>
    <w:p w14:paraId="36131477">
      <w:pPr>
        <w:tabs>
          <w:tab w:val="left" w:pos="480"/>
        </w:tabs>
        <w:spacing w:line="360" w:lineRule="auto"/>
        <w:ind w:firstLine="360" w:firstLineChars="150"/>
        <w:rPr>
          <w:rFonts w:cs="宋体" w:asciiTheme="minorEastAsia" w:hAnsiTheme="minorEastAsia"/>
          <w:sz w:val="24"/>
          <w:highlight w:val="none"/>
        </w:rPr>
      </w:pPr>
      <w:r>
        <w:rPr>
          <w:rFonts w:hint="eastAsia" w:cs="宋体" w:asciiTheme="minorEastAsia" w:hAnsiTheme="minorEastAsia"/>
          <w:sz w:val="24"/>
          <w:highlight w:val="none"/>
        </w:rPr>
        <w:t>（四）设备因产品质量或设计缺陷等问题，而发生的差错或纠纷由供货商及生产厂商付全部责任。如果造成损失，由供货商赔偿采购人的全部损失包括直接损失和间接损失。包括给第三人造成人身损害、财产损失及其医院支出的相关费用等），如在质保期内，采购人可以从质保金中直接扣除，不足部分，供货商另行全部承担。</w:t>
      </w:r>
    </w:p>
    <w:p w14:paraId="1504E4C3">
      <w:pPr>
        <w:tabs>
          <w:tab w:val="left" w:pos="480"/>
        </w:tabs>
        <w:spacing w:line="360" w:lineRule="auto"/>
        <w:ind w:firstLine="600" w:firstLineChars="250"/>
        <w:rPr>
          <w:rFonts w:cs="宋体" w:asciiTheme="minorEastAsia" w:hAnsiTheme="minorEastAsia"/>
          <w:sz w:val="24"/>
          <w:highlight w:val="none"/>
        </w:rPr>
      </w:pPr>
      <w:r>
        <w:rPr>
          <w:rFonts w:hint="eastAsia" w:cs="宋体" w:asciiTheme="minorEastAsia" w:hAnsiTheme="minorEastAsia"/>
          <w:sz w:val="24"/>
          <w:highlight w:val="none"/>
        </w:rPr>
        <w:t>（五）如涉及软件，自安装、调试正常运行并验收合格之日起：</w:t>
      </w:r>
    </w:p>
    <w:p w14:paraId="77C8C3E9">
      <w:pPr>
        <w:tabs>
          <w:tab w:val="left" w:pos="480"/>
        </w:tabs>
        <w:spacing w:line="360" w:lineRule="auto"/>
        <w:ind w:firstLine="600" w:firstLineChars="250"/>
        <w:rPr>
          <w:rFonts w:cs="宋体" w:asciiTheme="minorEastAsia" w:hAnsiTheme="minorEastAsia"/>
          <w:sz w:val="24"/>
          <w:highlight w:val="none"/>
        </w:rPr>
      </w:pPr>
      <w:r>
        <w:rPr>
          <w:rFonts w:hint="eastAsia" w:cs="宋体" w:asciiTheme="minorEastAsia" w:hAnsiTheme="minorEastAsia"/>
          <w:sz w:val="24"/>
          <w:highlight w:val="none"/>
        </w:rPr>
        <w:t>1、质保期：提供软件免费质保</w:t>
      </w:r>
      <w:r>
        <w:rPr>
          <w:rFonts w:hint="eastAsia" w:cs="宋体" w:asciiTheme="minorEastAsia" w:hAnsiTheme="minorEastAsia"/>
          <w:sz w:val="24"/>
          <w:highlight w:val="none"/>
          <w:u w:val="single"/>
        </w:rPr>
        <w:t xml:space="preserve">     </w:t>
      </w:r>
      <w:r>
        <w:rPr>
          <w:rFonts w:hint="eastAsia" w:cs="宋体" w:asciiTheme="minorEastAsia" w:hAnsiTheme="minorEastAsia"/>
          <w:sz w:val="24"/>
          <w:highlight w:val="none"/>
        </w:rPr>
        <w:t>年，提供原厂的系统使用和维护的现场培训和电话支持。</w:t>
      </w:r>
    </w:p>
    <w:p w14:paraId="6C10AEE3">
      <w:pPr>
        <w:tabs>
          <w:tab w:val="left" w:pos="480"/>
        </w:tabs>
        <w:spacing w:line="360" w:lineRule="auto"/>
        <w:ind w:firstLine="600" w:firstLineChars="250"/>
        <w:rPr>
          <w:rFonts w:cs="宋体" w:asciiTheme="minorEastAsia" w:hAnsiTheme="minorEastAsia"/>
          <w:sz w:val="24"/>
          <w:highlight w:val="none"/>
        </w:rPr>
      </w:pPr>
      <w:r>
        <w:rPr>
          <w:rFonts w:hint="eastAsia" w:cs="宋体" w:asciiTheme="minorEastAsia" w:hAnsiTheme="minorEastAsia"/>
          <w:sz w:val="24"/>
          <w:highlight w:val="none"/>
        </w:rPr>
        <w:t>2、免费保修期内，因供货商系统和产品本身技术问题或质量问题造成的故障，由供货商免费保修。</w:t>
      </w:r>
    </w:p>
    <w:p w14:paraId="5712345F">
      <w:pPr>
        <w:tabs>
          <w:tab w:val="left" w:pos="480"/>
        </w:tabs>
        <w:spacing w:line="360" w:lineRule="auto"/>
        <w:ind w:firstLine="600" w:firstLineChars="250"/>
        <w:rPr>
          <w:rFonts w:cs="宋体" w:asciiTheme="minorEastAsia" w:hAnsiTheme="minorEastAsia"/>
          <w:sz w:val="24"/>
          <w:highlight w:val="none"/>
        </w:rPr>
      </w:pPr>
      <w:r>
        <w:rPr>
          <w:rFonts w:hint="eastAsia" w:cs="宋体" w:asciiTheme="minorEastAsia" w:hAnsiTheme="minorEastAsia"/>
          <w:sz w:val="24"/>
          <w:highlight w:val="none"/>
        </w:rPr>
        <w:t>3、质保期内，供应商需保证7*24小时的服务响应，可通过电话、远程支持服务、现场支撑等，响应时间不得低于如下标准：接到医院方的通知后1小时内必须做出明确的响应和安排；需提供现场服务的，服务团队须在2小时内达到故障现场；4小时内做出故障诊断报告，常规故障8小时内必须解决。</w:t>
      </w:r>
    </w:p>
    <w:p w14:paraId="70700EBB">
      <w:pPr>
        <w:tabs>
          <w:tab w:val="left" w:pos="480"/>
        </w:tabs>
        <w:spacing w:line="360" w:lineRule="auto"/>
        <w:ind w:firstLine="241" w:firstLineChars="100"/>
        <w:rPr>
          <w:rFonts w:cs="宋体" w:asciiTheme="minorEastAsia" w:hAnsiTheme="minorEastAsia"/>
          <w:b/>
          <w:sz w:val="24"/>
          <w:highlight w:val="none"/>
        </w:rPr>
      </w:pPr>
      <w:r>
        <w:rPr>
          <w:rFonts w:hint="eastAsia" w:cs="宋体" w:asciiTheme="minorEastAsia" w:hAnsiTheme="minorEastAsia"/>
          <w:b/>
          <w:sz w:val="24"/>
          <w:highlight w:val="none"/>
        </w:rPr>
        <w:t>七、运输</w:t>
      </w:r>
      <w:r>
        <w:rPr>
          <w:rFonts w:cs="宋体" w:asciiTheme="minorEastAsia" w:hAnsiTheme="minorEastAsia"/>
          <w:b/>
          <w:sz w:val="24"/>
          <w:highlight w:val="none"/>
        </w:rPr>
        <w:t>、</w:t>
      </w:r>
      <w:r>
        <w:rPr>
          <w:rFonts w:hint="eastAsia" w:cs="宋体" w:asciiTheme="minorEastAsia" w:hAnsiTheme="minorEastAsia"/>
          <w:b/>
          <w:sz w:val="24"/>
          <w:highlight w:val="none"/>
        </w:rPr>
        <w:t>安装调试和验收</w:t>
      </w:r>
    </w:p>
    <w:p w14:paraId="15F1FD32">
      <w:pPr>
        <w:tabs>
          <w:tab w:val="left" w:pos="480"/>
        </w:tabs>
        <w:spacing w:line="360" w:lineRule="auto"/>
        <w:ind w:firstLine="600" w:firstLineChars="250"/>
        <w:rPr>
          <w:rFonts w:cs="宋体" w:asciiTheme="minorEastAsia" w:hAnsiTheme="minorEastAsia"/>
          <w:sz w:val="24"/>
          <w:highlight w:val="none"/>
        </w:rPr>
      </w:pPr>
      <w:r>
        <w:rPr>
          <w:rFonts w:hint="eastAsia" w:cs="宋体" w:asciiTheme="minorEastAsia" w:hAnsiTheme="minorEastAsia"/>
          <w:sz w:val="24"/>
          <w:highlight w:val="none"/>
        </w:rPr>
        <w:t>（一）运输：由供货商负责，运杂费已包含在合同总价内，包括从货物供应地点所含的运输费、装卸费、仓储费、保险费等。运输方式由供货商自行选择，但必须保证按期交货。因运输产生的一切风险及质量问题均由供货商承担。</w:t>
      </w:r>
    </w:p>
    <w:p w14:paraId="7F8B11F2">
      <w:pPr>
        <w:tabs>
          <w:tab w:val="left" w:pos="480"/>
        </w:tabs>
        <w:spacing w:line="360" w:lineRule="auto"/>
        <w:ind w:firstLine="600" w:firstLineChars="250"/>
        <w:rPr>
          <w:rFonts w:cs="宋体" w:asciiTheme="minorEastAsia" w:hAnsiTheme="minorEastAsia"/>
          <w:sz w:val="24"/>
          <w:highlight w:val="none"/>
        </w:rPr>
      </w:pPr>
      <w:r>
        <w:rPr>
          <w:rFonts w:hint="eastAsia" w:cs="宋体" w:asciiTheme="minorEastAsia" w:hAnsiTheme="minorEastAsia"/>
          <w:sz w:val="24"/>
          <w:highlight w:val="none"/>
        </w:rPr>
        <w:t>（二）安装调试：供货商应配合采购人的时限要求，负责在现场对产品进行安装、调试和试运行，直至验收合格。供货商应提供全部安装、调试过程中的资料。试运行应当在采购人的监督下进行。供货商须向采购人提供管理人员及现场施工人员身份证复印件备案。</w:t>
      </w:r>
    </w:p>
    <w:p w14:paraId="153C6641">
      <w:pPr>
        <w:tabs>
          <w:tab w:val="left" w:pos="480"/>
        </w:tabs>
        <w:spacing w:line="360" w:lineRule="auto"/>
        <w:ind w:firstLine="600" w:firstLineChars="250"/>
        <w:rPr>
          <w:rFonts w:cs="宋体" w:asciiTheme="minorEastAsia" w:hAnsiTheme="minorEastAsia"/>
          <w:b/>
          <w:sz w:val="24"/>
          <w:highlight w:val="none"/>
        </w:rPr>
      </w:pPr>
      <w:r>
        <w:rPr>
          <w:rFonts w:hint="eastAsia" w:cs="宋体" w:asciiTheme="minorEastAsia" w:hAnsiTheme="minorEastAsia"/>
          <w:sz w:val="24"/>
          <w:highlight w:val="none"/>
        </w:rPr>
        <w:t>（三）验收：货物到达采购人指定地点后，采购人根据合同要求，进行外观验收，确认产地、规格、型号和数量。货物安装、调试并正常运行后，由供货商进行自检，合格后，准备验收文件，并书面通知采购人。采购人确认供货商的自检内容后，组织进行系统验收，验收合格后，填写项目验收单作为对货物的最终认可。</w:t>
      </w:r>
    </w:p>
    <w:p w14:paraId="492B9079">
      <w:pPr>
        <w:tabs>
          <w:tab w:val="left" w:pos="480"/>
        </w:tabs>
        <w:spacing w:line="360" w:lineRule="auto"/>
        <w:ind w:firstLine="600" w:firstLineChars="250"/>
        <w:rPr>
          <w:rFonts w:cs="宋体" w:asciiTheme="minorEastAsia" w:hAnsiTheme="minorEastAsia"/>
          <w:sz w:val="24"/>
          <w:highlight w:val="none"/>
        </w:rPr>
      </w:pPr>
      <w:r>
        <w:rPr>
          <w:rFonts w:hint="eastAsia" w:cs="宋体" w:asciiTheme="minorEastAsia" w:hAnsiTheme="minorEastAsia"/>
          <w:sz w:val="24"/>
          <w:highlight w:val="none"/>
        </w:rPr>
        <w:t>（四）验收依据</w:t>
      </w:r>
    </w:p>
    <w:p w14:paraId="27524907">
      <w:pPr>
        <w:tabs>
          <w:tab w:val="left" w:pos="480"/>
        </w:tabs>
        <w:spacing w:line="360" w:lineRule="auto"/>
        <w:ind w:firstLine="600" w:firstLineChars="250"/>
        <w:rPr>
          <w:rFonts w:cs="宋体" w:asciiTheme="minorEastAsia" w:hAnsiTheme="minorEastAsia"/>
          <w:sz w:val="24"/>
          <w:highlight w:val="none"/>
        </w:rPr>
      </w:pPr>
      <w:r>
        <w:rPr>
          <w:rFonts w:hint="eastAsia" w:cs="宋体" w:asciiTheme="minorEastAsia" w:hAnsiTheme="minorEastAsia"/>
          <w:sz w:val="24"/>
          <w:highlight w:val="none"/>
        </w:rPr>
        <w:t>1、招标文件、响应文件、澄清表（函）；</w:t>
      </w:r>
    </w:p>
    <w:p w14:paraId="1AC84792">
      <w:pPr>
        <w:tabs>
          <w:tab w:val="left" w:pos="480"/>
        </w:tabs>
        <w:spacing w:line="360" w:lineRule="auto"/>
        <w:ind w:firstLine="600" w:firstLineChars="250"/>
        <w:rPr>
          <w:rFonts w:cs="宋体" w:asciiTheme="minorEastAsia" w:hAnsiTheme="minorEastAsia"/>
          <w:sz w:val="24"/>
          <w:highlight w:val="none"/>
        </w:rPr>
      </w:pPr>
      <w:r>
        <w:rPr>
          <w:rFonts w:hint="eastAsia" w:cs="宋体" w:asciiTheme="minorEastAsia" w:hAnsiTheme="minorEastAsia"/>
          <w:sz w:val="24"/>
          <w:highlight w:val="none"/>
        </w:rPr>
        <w:t>2、本合同及附件文本；</w:t>
      </w:r>
    </w:p>
    <w:p w14:paraId="106E5E18">
      <w:pPr>
        <w:tabs>
          <w:tab w:val="left" w:pos="480"/>
        </w:tabs>
        <w:spacing w:line="360" w:lineRule="auto"/>
        <w:ind w:firstLine="600" w:firstLineChars="250"/>
        <w:rPr>
          <w:rFonts w:cs="宋体" w:asciiTheme="minorEastAsia" w:hAnsiTheme="minorEastAsia"/>
          <w:b/>
          <w:sz w:val="24"/>
          <w:highlight w:val="none"/>
        </w:rPr>
      </w:pPr>
      <w:r>
        <w:rPr>
          <w:rFonts w:hint="eastAsia" w:cs="宋体" w:asciiTheme="minorEastAsia" w:hAnsiTheme="minorEastAsia"/>
          <w:sz w:val="24"/>
          <w:highlight w:val="none"/>
        </w:rPr>
        <w:t>3、合同签订时国家及行业现行的标准和技术规范。</w:t>
      </w:r>
    </w:p>
    <w:p w14:paraId="751C7F14">
      <w:pPr>
        <w:tabs>
          <w:tab w:val="left" w:pos="480"/>
        </w:tabs>
        <w:spacing w:line="360" w:lineRule="auto"/>
        <w:ind w:firstLine="600" w:firstLineChars="250"/>
        <w:rPr>
          <w:rFonts w:cs="宋体" w:asciiTheme="minorEastAsia" w:hAnsiTheme="minorEastAsia"/>
          <w:sz w:val="24"/>
          <w:highlight w:val="none"/>
        </w:rPr>
      </w:pPr>
      <w:r>
        <w:rPr>
          <w:rFonts w:hint="eastAsia" w:cs="宋体" w:asciiTheme="minorEastAsia" w:hAnsiTheme="minorEastAsia"/>
          <w:sz w:val="24"/>
          <w:highlight w:val="none"/>
        </w:rPr>
        <w:t>（五）供货商应向采购人提交项目实施过程中的所有资料，以便采购人人员日后管理和维护。</w:t>
      </w:r>
    </w:p>
    <w:p w14:paraId="61442397">
      <w:pPr>
        <w:tabs>
          <w:tab w:val="left" w:pos="480"/>
        </w:tabs>
        <w:spacing w:line="360" w:lineRule="auto"/>
        <w:ind w:firstLine="600" w:firstLineChars="250"/>
        <w:rPr>
          <w:rFonts w:cs="宋体" w:asciiTheme="minorEastAsia" w:hAnsiTheme="minorEastAsia"/>
          <w:b/>
          <w:sz w:val="24"/>
          <w:highlight w:val="none"/>
        </w:rPr>
      </w:pPr>
      <w:r>
        <w:rPr>
          <w:rFonts w:hint="eastAsia" w:cs="宋体" w:asciiTheme="minorEastAsia" w:hAnsiTheme="minorEastAsia"/>
          <w:sz w:val="24"/>
          <w:highlight w:val="none"/>
        </w:rPr>
        <w:t>（六）在得到供货商验收要求通知后，采购人应积极准备验收，验收合格后出具验收报告。</w:t>
      </w:r>
    </w:p>
    <w:p w14:paraId="0E16457B">
      <w:pPr>
        <w:tabs>
          <w:tab w:val="left" w:pos="480"/>
        </w:tabs>
        <w:spacing w:line="360" w:lineRule="auto"/>
        <w:ind w:firstLine="241" w:firstLineChars="100"/>
        <w:rPr>
          <w:rFonts w:cs="宋体" w:asciiTheme="minorEastAsia" w:hAnsiTheme="minorEastAsia"/>
          <w:b/>
          <w:sz w:val="24"/>
          <w:highlight w:val="none"/>
        </w:rPr>
      </w:pPr>
      <w:r>
        <w:rPr>
          <w:rFonts w:hint="eastAsia" w:cs="宋体" w:asciiTheme="minorEastAsia" w:hAnsiTheme="minorEastAsia"/>
          <w:b/>
          <w:sz w:val="24"/>
          <w:highlight w:val="none"/>
        </w:rPr>
        <w:t>八、售后服务（硬件</w:t>
      </w:r>
      <w:r>
        <w:rPr>
          <w:rFonts w:cs="宋体" w:asciiTheme="minorEastAsia" w:hAnsiTheme="minorEastAsia"/>
          <w:b/>
          <w:sz w:val="24"/>
          <w:highlight w:val="none"/>
        </w:rPr>
        <w:t>产品</w:t>
      </w:r>
      <w:r>
        <w:rPr>
          <w:rFonts w:hint="eastAsia" w:cs="宋体" w:asciiTheme="minorEastAsia" w:hAnsiTheme="minorEastAsia"/>
          <w:b/>
          <w:sz w:val="24"/>
          <w:highlight w:val="none"/>
        </w:rPr>
        <w:t>）</w:t>
      </w:r>
    </w:p>
    <w:p w14:paraId="07742933">
      <w:pPr>
        <w:tabs>
          <w:tab w:val="left" w:pos="480"/>
        </w:tabs>
        <w:spacing w:line="360" w:lineRule="auto"/>
        <w:ind w:firstLine="600" w:firstLineChars="250"/>
        <w:rPr>
          <w:rFonts w:cs="宋体" w:asciiTheme="minorEastAsia" w:hAnsiTheme="minorEastAsia"/>
          <w:sz w:val="24"/>
          <w:highlight w:val="none"/>
        </w:rPr>
      </w:pPr>
      <w:r>
        <w:rPr>
          <w:rFonts w:hint="eastAsia" w:cs="宋体" w:asciiTheme="minorEastAsia" w:hAnsiTheme="minorEastAsia"/>
          <w:sz w:val="24"/>
          <w:highlight w:val="none"/>
        </w:rPr>
        <w:t>提供原厂</w:t>
      </w:r>
      <w:r>
        <w:rPr>
          <w:rFonts w:hint="eastAsia" w:cs="宋体" w:asciiTheme="minorEastAsia" w:hAnsiTheme="minorEastAsia"/>
          <w:sz w:val="24"/>
          <w:highlight w:val="none"/>
          <w:u w:val="single"/>
        </w:rPr>
        <w:t xml:space="preserve">     </w:t>
      </w:r>
      <w:r>
        <w:rPr>
          <w:rFonts w:hint="eastAsia" w:cs="宋体" w:asciiTheme="minorEastAsia" w:hAnsiTheme="minorEastAsia"/>
          <w:sz w:val="24"/>
          <w:highlight w:val="none"/>
        </w:rPr>
        <w:t>年免费技术支持与售后服务，供货商所供货物提供以下售后服务：</w:t>
      </w:r>
    </w:p>
    <w:p w14:paraId="0E5D2EC5">
      <w:pPr>
        <w:tabs>
          <w:tab w:val="left" w:pos="480"/>
        </w:tabs>
        <w:spacing w:line="360" w:lineRule="auto"/>
        <w:ind w:firstLine="600" w:firstLineChars="250"/>
        <w:rPr>
          <w:rFonts w:cs="宋体" w:asciiTheme="minorEastAsia" w:hAnsiTheme="minorEastAsia"/>
          <w:sz w:val="24"/>
          <w:highlight w:val="none"/>
        </w:rPr>
      </w:pPr>
      <w:r>
        <w:rPr>
          <w:rFonts w:hint="eastAsia" w:cs="宋体" w:asciiTheme="minorEastAsia" w:hAnsiTheme="minorEastAsia"/>
          <w:sz w:val="24"/>
          <w:highlight w:val="none"/>
        </w:rPr>
        <w:t>（一）质保期内：</w:t>
      </w:r>
    </w:p>
    <w:p w14:paraId="27D7F99C">
      <w:pPr>
        <w:tabs>
          <w:tab w:val="left" w:pos="480"/>
        </w:tabs>
        <w:spacing w:line="360" w:lineRule="auto"/>
        <w:ind w:firstLine="600" w:firstLineChars="250"/>
        <w:rPr>
          <w:rFonts w:cs="宋体" w:asciiTheme="minorEastAsia" w:hAnsiTheme="minorEastAsia"/>
          <w:sz w:val="24"/>
          <w:highlight w:val="none"/>
        </w:rPr>
      </w:pPr>
      <w:r>
        <w:rPr>
          <w:rFonts w:hint="eastAsia" w:cs="宋体" w:asciiTheme="minorEastAsia" w:hAnsiTheme="minorEastAsia"/>
          <w:sz w:val="24"/>
          <w:highlight w:val="none"/>
        </w:rPr>
        <w:t>1、发生质量问题，接到采购人通知后，应于</w:t>
      </w:r>
      <w:r>
        <w:rPr>
          <w:rFonts w:hint="eastAsia" w:cs="宋体" w:asciiTheme="minorEastAsia" w:hAnsiTheme="minorEastAsia"/>
          <w:sz w:val="24"/>
          <w:highlight w:val="none"/>
          <w:u w:val="single"/>
        </w:rPr>
        <w:t xml:space="preserve">   </w:t>
      </w:r>
      <w:r>
        <w:rPr>
          <w:rFonts w:hint="eastAsia" w:cs="宋体" w:asciiTheme="minorEastAsia" w:hAnsiTheme="minorEastAsia"/>
          <w:sz w:val="24"/>
          <w:highlight w:val="none"/>
        </w:rPr>
        <w:t>小时内派出专业的维修人员到现场进行检测维修，发生的全部费用由供货商承担，若需送回生产厂，供货商承担因此产生的一切费用；维修后仍存在质量问题应予以换货或退货并赔偿全部损失。</w:t>
      </w:r>
    </w:p>
    <w:p w14:paraId="238F986F">
      <w:pPr>
        <w:tabs>
          <w:tab w:val="left" w:pos="480"/>
        </w:tabs>
        <w:spacing w:line="360" w:lineRule="auto"/>
        <w:ind w:firstLine="600" w:firstLineChars="250"/>
        <w:rPr>
          <w:rFonts w:cs="宋体" w:asciiTheme="minorEastAsia" w:hAnsiTheme="minorEastAsia"/>
          <w:sz w:val="24"/>
          <w:highlight w:val="none"/>
        </w:rPr>
      </w:pPr>
      <w:r>
        <w:rPr>
          <w:rFonts w:hint="eastAsia" w:cs="宋体" w:asciiTheme="minorEastAsia" w:hAnsiTheme="minorEastAsia"/>
          <w:sz w:val="24"/>
          <w:highlight w:val="none"/>
        </w:rPr>
        <w:t>2、定期派技术人员到现场走访，给予检查维护，采购人负责人在检查记录表签字确认；</w:t>
      </w:r>
    </w:p>
    <w:p w14:paraId="56D7AE18">
      <w:pPr>
        <w:tabs>
          <w:tab w:val="left" w:pos="480"/>
        </w:tabs>
        <w:spacing w:line="360" w:lineRule="auto"/>
        <w:ind w:firstLine="600" w:firstLineChars="250"/>
        <w:rPr>
          <w:rFonts w:cs="宋体" w:asciiTheme="minorEastAsia" w:hAnsiTheme="minorEastAsia"/>
          <w:sz w:val="24"/>
          <w:highlight w:val="none"/>
        </w:rPr>
      </w:pPr>
      <w:r>
        <w:rPr>
          <w:rFonts w:hint="eastAsia" w:cs="宋体" w:asciiTheme="minorEastAsia" w:hAnsiTheme="minorEastAsia"/>
          <w:sz w:val="24"/>
          <w:highlight w:val="none"/>
        </w:rPr>
        <w:t>3、排除故障的期限不得超过</w:t>
      </w:r>
      <w:r>
        <w:rPr>
          <w:rFonts w:hint="eastAsia" w:cs="宋体" w:asciiTheme="minorEastAsia" w:hAnsiTheme="minorEastAsia"/>
          <w:sz w:val="24"/>
          <w:highlight w:val="none"/>
          <w:u w:val="single"/>
        </w:rPr>
        <w:t xml:space="preserve">   </w:t>
      </w:r>
      <w:r>
        <w:rPr>
          <w:rFonts w:hint="eastAsia" w:cs="宋体" w:asciiTheme="minorEastAsia" w:hAnsiTheme="minorEastAsia"/>
          <w:sz w:val="24"/>
          <w:highlight w:val="none"/>
        </w:rPr>
        <w:t>小时。否则采购人有权指定第三方维修，维修费用由供货商承担。</w:t>
      </w:r>
    </w:p>
    <w:p w14:paraId="2B3EAB68">
      <w:pPr>
        <w:tabs>
          <w:tab w:val="left" w:pos="480"/>
        </w:tabs>
        <w:spacing w:line="360" w:lineRule="auto"/>
        <w:ind w:firstLine="600" w:firstLineChars="250"/>
        <w:rPr>
          <w:rFonts w:cs="宋体" w:asciiTheme="minorEastAsia" w:hAnsiTheme="minorEastAsia"/>
          <w:b/>
          <w:sz w:val="24"/>
          <w:highlight w:val="none"/>
        </w:rPr>
      </w:pPr>
      <w:r>
        <w:rPr>
          <w:rFonts w:hint="eastAsia" w:cs="宋体" w:asciiTheme="minorEastAsia" w:hAnsiTheme="minorEastAsia"/>
          <w:sz w:val="24"/>
          <w:highlight w:val="none"/>
        </w:rPr>
        <w:t>（二）质保期结束前，进行系统测试，全面保养维护，确保正常运行。</w:t>
      </w:r>
    </w:p>
    <w:p w14:paraId="1E4282B6">
      <w:pPr>
        <w:tabs>
          <w:tab w:val="left" w:pos="480"/>
        </w:tabs>
        <w:spacing w:line="360" w:lineRule="auto"/>
        <w:ind w:firstLine="241" w:firstLineChars="100"/>
        <w:rPr>
          <w:rFonts w:cs="宋体" w:asciiTheme="minorEastAsia" w:hAnsiTheme="minorEastAsia"/>
          <w:b/>
          <w:sz w:val="24"/>
          <w:highlight w:val="none"/>
        </w:rPr>
      </w:pPr>
      <w:r>
        <w:rPr>
          <w:rFonts w:hint="eastAsia" w:cs="宋体" w:asciiTheme="minorEastAsia" w:hAnsiTheme="minorEastAsia"/>
          <w:b/>
          <w:sz w:val="24"/>
          <w:highlight w:val="none"/>
        </w:rPr>
        <w:t>九、技术与服务</w:t>
      </w:r>
    </w:p>
    <w:p w14:paraId="789D2FFE">
      <w:pPr>
        <w:tabs>
          <w:tab w:val="left" w:pos="480"/>
        </w:tabs>
        <w:spacing w:line="360" w:lineRule="auto"/>
        <w:ind w:firstLine="600" w:firstLineChars="250"/>
        <w:rPr>
          <w:rFonts w:cs="宋体" w:asciiTheme="minorEastAsia" w:hAnsiTheme="minorEastAsia"/>
          <w:sz w:val="24"/>
          <w:highlight w:val="none"/>
        </w:rPr>
      </w:pPr>
      <w:r>
        <w:rPr>
          <w:rFonts w:hint="eastAsia" w:cs="宋体" w:asciiTheme="minorEastAsia" w:hAnsiTheme="minorEastAsia"/>
          <w:sz w:val="24"/>
          <w:highlight w:val="none"/>
        </w:rPr>
        <w:t>（一）技术资料：</w:t>
      </w:r>
    </w:p>
    <w:p w14:paraId="41472619">
      <w:pPr>
        <w:tabs>
          <w:tab w:val="left" w:pos="480"/>
        </w:tabs>
        <w:spacing w:line="360" w:lineRule="auto"/>
        <w:ind w:firstLine="600" w:firstLineChars="250"/>
        <w:rPr>
          <w:rFonts w:cs="宋体" w:asciiTheme="minorEastAsia" w:hAnsiTheme="minorEastAsia"/>
          <w:sz w:val="24"/>
          <w:highlight w:val="none"/>
        </w:rPr>
      </w:pPr>
      <w:r>
        <w:rPr>
          <w:rFonts w:hint="eastAsia" w:cs="宋体" w:asciiTheme="minorEastAsia" w:hAnsiTheme="minorEastAsia"/>
          <w:sz w:val="24"/>
          <w:highlight w:val="none"/>
        </w:rPr>
        <w:t>1、货物合格证；</w:t>
      </w:r>
    </w:p>
    <w:p w14:paraId="618D6C9D">
      <w:pPr>
        <w:tabs>
          <w:tab w:val="left" w:pos="480"/>
        </w:tabs>
        <w:spacing w:line="360" w:lineRule="auto"/>
        <w:ind w:firstLine="600" w:firstLineChars="250"/>
        <w:rPr>
          <w:rFonts w:cs="宋体" w:asciiTheme="minorEastAsia" w:hAnsiTheme="minorEastAsia"/>
          <w:sz w:val="24"/>
          <w:highlight w:val="none"/>
        </w:rPr>
      </w:pPr>
      <w:r>
        <w:rPr>
          <w:rFonts w:hint="eastAsia" w:cs="宋体" w:asciiTheme="minorEastAsia" w:hAnsiTheme="minorEastAsia"/>
          <w:sz w:val="24"/>
          <w:highlight w:val="none"/>
        </w:rPr>
        <w:t>2、货物使用说明书（中文）；</w:t>
      </w:r>
    </w:p>
    <w:p w14:paraId="098CB395">
      <w:pPr>
        <w:tabs>
          <w:tab w:val="left" w:pos="480"/>
        </w:tabs>
        <w:spacing w:line="360" w:lineRule="auto"/>
        <w:ind w:firstLine="600" w:firstLineChars="250"/>
        <w:rPr>
          <w:rFonts w:cs="宋体" w:asciiTheme="minorEastAsia" w:hAnsiTheme="minorEastAsia"/>
          <w:sz w:val="24"/>
          <w:highlight w:val="none"/>
        </w:rPr>
      </w:pPr>
      <w:r>
        <w:rPr>
          <w:rFonts w:hint="eastAsia" w:cs="宋体" w:asciiTheme="minorEastAsia" w:hAnsiTheme="minorEastAsia"/>
          <w:sz w:val="24"/>
          <w:highlight w:val="none"/>
        </w:rPr>
        <w:t>3、项目峻工资料、检验测试报告；</w:t>
      </w:r>
    </w:p>
    <w:p w14:paraId="75D207DC">
      <w:pPr>
        <w:tabs>
          <w:tab w:val="left" w:pos="480"/>
        </w:tabs>
        <w:spacing w:line="360" w:lineRule="auto"/>
        <w:ind w:firstLine="600" w:firstLineChars="250"/>
        <w:rPr>
          <w:rFonts w:cs="宋体" w:asciiTheme="minorEastAsia" w:hAnsiTheme="minorEastAsia"/>
          <w:sz w:val="24"/>
          <w:highlight w:val="none"/>
        </w:rPr>
      </w:pPr>
      <w:r>
        <w:rPr>
          <w:rFonts w:hint="eastAsia" w:cs="宋体" w:asciiTheme="minorEastAsia" w:hAnsiTheme="minorEastAsia"/>
          <w:sz w:val="24"/>
          <w:highlight w:val="none"/>
        </w:rPr>
        <w:t>4、其它资料。</w:t>
      </w:r>
    </w:p>
    <w:p w14:paraId="15846D9F">
      <w:pPr>
        <w:tabs>
          <w:tab w:val="left" w:pos="480"/>
        </w:tabs>
        <w:spacing w:line="360" w:lineRule="auto"/>
        <w:ind w:firstLine="600" w:firstLineChars="250"/>
        <w:rPr>
          <w:rFonts w:cs="宋体" w:asciiTheme="minorEastAsia" w:hAnsiTheme="minorEastAsia"/>
          <w:sz w:val="24"/>
          <w:highlight w:val="none"/>
        </w:rPr>
      </w:pPr>
      <w:r>
        <w:rPr>
          <w:rFonts w:hint="eastAsia" w:cs="宋体" w:asciiTheme="minorEastAsia" w:hAnsiTheme="minorEastAsia"/>
          <w:sz w:val="24"/>
          <w:highlight w:val="none"/>
        </w:rPr>
        <w:t>（二）服务承诺：以招标响应文件、澄清表（函）、合同和随货物的相关文件为准。</w:t>
      </w:r>
    </w:p>
    <w:p w14:paraId="146E396B">
      <w:pPr>
        <w:tabs>
          <w:tab w:val="left" w:pos="480"/>
        </w:tabs>
        <w:spacing w:line="360" w:lineRule="auto"/>
        <w:ind w:firstLine="241" w:firstLineChars="100"/>
        <w:rPr>
          <w:rFonts w:cs="宋体" w:asciiTheme="minorEastAsia" w:hAnsiTheme="minorEastAsia"/>
          <w:b/>
          <w:sz w:val="24"/>
          <w:highlight w:val="none"/>
        </w:rPr>
      </w:pPr>
      <w:r>
        <w:rPr>
          <w:rFonts w:hint="eastAsia" w:cs="宋体" w:asciiTheme="minorEastAsia" w:hAnsiTheme="minorEastAsia"/>
          <w:b/>
          <w:sz w:val="24"/>
          <w:highlight w:val="none"/>
        </w:rPr>
        <w:t>十、违约责任</w:t>
      </w:r>
    </w:p>
    <w:p w14:paraId="639D6A60">
      <w:pPr>
        <w:tabs>
          <w:tab w:val="left" w:pos="480"/>
        </w:tabs>
        <w:spacing w:line="360" w:lineRule="auto"/>
        <w:ind w:firstLine="600" w:firstLineChars="250"/>
        <w:rPr>
          <w:rFonts w:cs="宋体" w:asciiTheme="minorEastAsia" w:hAnsiTheme="minorEastAsia"/>
          <w:sz w:val="24"/>
          <w:highlight w:val="none"/>
        </w:rPr>
      </w:pPr>
      <w:r>
        <w:rPr>
          <w:rFonts w:hint="eastAsia" w:cs="宋体" w:asciiTheme="minorEastAsia" w:hAnsiTheme="minorEastAsia"/>
          <w:sz w:val="24"/>
          <w:highlight w:val="none"/>
        </w:rPr>
        <w:t>（一）按《政府采购法》、《民法典》中的相关条款执行。</w:t>
      </w:r>
    </w:p>
    <w:p w14:paraId="2906E108">
      <w:pPr>
        <w:tabs>
          <w:tab w:val="left" w:pos="480"/>
        </w:tabs>
        <w:spacing w:line="360" w:lineRule="auto"/>
        <w:ind w:firstLine="600" w:firstLineChars="250"/>
        <w:rPr>
          <w:rFonts w:cs="宋体" w:asciiTheme="minorEastAsia" w:hAnsiTheme="minorEastAsia"/>
          <w:sz w:val="24"/>
          <w:highlight w:val="none"/>
        </w:rPr>
      </w:pPr>
      <w:r>
        <w:rPr>
          <w:rFonts w:hint="eastAsia" w:cs="宋体" w:asciiTheme="minorEastAsia" w:hAnsiTheme="minorEastAsia"/>
          <w:sz w:val="24"/>
          <w:highlight w:val="none"/>
        </w:rPr>
        <w:t>（二）未按合同要求提供货物或质量不能满足技术要求，在约定的条件下，供货商必须无条件更换，提高技术，完善质量，否则，采购人有权解除合同，解除合同书面通知书到达供货商之日视为合同已解除。</w:t>
      </w:r>
    </w:p>
    <w:p w14:paraId="07F3C8ED">
      <w:pPr>
        <w:tabs>
          <w:tab w:val="left" w:pos="480"/>
        </w:tabs>
        <w:spacing w:line="360" w:lineRule="auto"/>
        <w:ind w:firstLine="600" w:firstLineChars="250"/>
        <w:rPr>
          <w:rFonts w:cs="宋体" w:asciiTheme="minorEastAsia" w:hAnsiTheme="minorEastAsia"/>
          <w:sz w:val="24"/>
          <w:highlight w:val="none"/>
        </w:rPr>
      </w:pPr>
      <w:r>
        <w:rPr>
          <w:rFonts w:hint="eastAsia" w:cs="宋体" w:asciiTheme="minorEastAsia" w:hAnsiTheme="minorEastAsia"/>
          <w:sz w:val="24"/>
          <w:highlight w:val="none"/>
        </w:rPr>
        <w:t>（三）交货期每超过一天，扣除供货商合同总价款的</w:t>
      </w:r>
      <w:r>
        <w:rPr>
          <w:rFonts w:hint="eastAsia" w:cs="宋体" w:asciiTheme="minorEastAsia" w:hAnsiTheme="minorEastAsia"/>
          <w:sz w:val="24"/>
          <w:highlight w:val="none"/>
          <w:u w:val="single"/>
        </w:rPr>
        <w:t xml:space="preserve">   </w:t>
      </w:r>
      <w:r>
        <w:rPr>
          <w:rFonts w:hint="eastAsia" w:cs="宋体" w:asciiTheme="minorEastAsia" w:hAnsiTheme="minorEastAsia"/>
          <w:sz w:val="24"/>
          <w:highlight w:val="none"/>
        </w:rPr>
        <w:t xml:space="preserve"> ‰。</w:t>
      </w:r>
    </w:p>
    <w:p w14:paraId="2E6FD77C">
      <w:pPr>
        <w:tabs>
          <w:tab w:val="left" w:pos="480"/>
        </w:tabs>
        <w:spacing w:line="360" w:lineRule="auto"/>
        <w:ind w:firstLine="600" w:firstLineChars="250"/>
        <w:rPr>
          <w:rFonts w:cs="宋体" w:asciiTheme="minorEastAsia" w:hAnsiTheme="minorEastAsia"/>
          <w:sz w:val="24"/>
          <w:highlight w:val="none"/>
        </w:rPr>
      </w:pPr>
      <w:r>
        <w:rPr>
          <w:rFonts w:hint="eastAsia" w:cs="宋体" w:asciiTheme="minorEastAsia" w:hAnsiTheme="minorEastAsia"/>
          <w:sz w:val="24"/>
          <w:highlight w:val="none"/>
        </w:rPr>
        <w:t>（四）如果供货商延期交货30天以上，采购人有权解除合同，合同自采购人书面解除通知到达供货商时解除。供货商需赔偿采购人总价款的</w:t>
      </w:r>
      <w:r>
        <w:rPr>
          <w:rFonts w:hint="eastAsia" w:cs="宋体" w:asciiTheme="minorEastAsia" w:hAnsiTheme="minorEastAsia"/>
          <w:sz w:val="24"/>
          <w:highlight w:val="none"/>
          <w:u w:val="single"/>
        </w:rPr>
        <w:t xml:space="preserve">   </w:t>
      </w:r>
      <w:r>
        <w:rPr>
          <w:rFonts w:hint="eastAsia" w:cs="宋体" w:asciiTheme="minorEastAsia" w:hAnsiTheme="minorEastAsia"/>
          <w:sz w:val="24"/>
          <w:highlight w:val="none"/>
        </w:rPr>
        <w:t xml:space="preserve"> %作为违约金。</w:t>
      </w:r>
    </w:p>
    <w:p w14:paraId="13AA6A0B">
      <w:pPr>
        <w:tabs>
          <w:tab w:val="left" w:pos="480"/>
        </w:tabs>
        <w:spacing w:line="360" w:lineRule="auto"/>
        <w:ind w:firstLine="241" w:firstLineChars="100"/>
        <w:rPr>
          <w:rFonts w:cs="宋体" w:asciiTheme="minorEastAsia" w:hAnsiTheme="minorEastAsia"/>
          <w:b/>
          <w:sz w:val="24"/>
          <w:highlight w:val="none"/>
        </w:rPr>
      </w:pPr>
      <w:r>
        <w:rPr>
          <w:rFonts w:hint="eastAsia" w:cs="宋体" w:asciiTheme="minorEastAsia" w:hAnsiTheme="minorEastAsia"/>
          <w:b/>
          <w:sz w:val="24"/>
          <w:highlight w:val="none"/>
        </w:rPr>
        <w:t>十一、合同争议解决的方式</w:t>
      </w:r>
    </w:p>
    <w:p w14:paraId="0BB2F21B">
      <w:pPr>
        <w:tabs>
          <w:tab w:val="left" w:pos="480"/>
        </w:tabs>
        <w:spacing w:line="360" w:lineRule="auto"/>
        <w:ind w:firstLine="600" w:firstLineChars="250"/>
        <w:rPr>
          <w:rFonts w:cs="宋体" w:asciiTheme="minorEastAsia" w:hAnsiTheme="minorEastAsia"/>
          <w:sz w:val="24"/>
          <w:highlight w:val="none"/>
        </w:rPr>
      </w:pPr>
      <w:r>
        <w:rPr>
          <w:rFonts w:hint="eastAsia" w:cs="宋体" w:asciiTheme="minorEastAsia" w:hAnsiTheme="minorEastAsia"/>
          <w:sz w:val="24"/>
          <w:highlight w:val="none"/>
        </w:rPr>
        <w:t>本合同在履行过程中发生的争议，由采购人</w:t>
      </w:r>
      <w:r>
        <w:rPr>
          <w:rFonts w:cs="宋体" w:asciiTheme="minorEastAsia" w:hAnsiTheme="minorEastAsia"/>
          <w:sz w:val="24"/>
          <w:highlight w:val="none"/>
        </w:rPr>
        <w:t>、供货商</w:t>
      </w:r>
      <w:r>
        <w:rPr>
          <w:rFonts w:hint="eastAsia" w:cs="宋体" w:asciiTheme="minorEastAsia" w:hAnsiTheme="minorEastAsia"/>
          <w:sz w:val="24"/>
          <w:highlight w:val="none"/>
        </w:rPr>
        <w:t>双方当事人协商解决，协商不成的依法向采购人所在地人民法院起诉。</w:t>
      </w:r>
    </w:p>
    <w:p w14:paraId="6AFE9B92">
      <w:pPr>
        <w:tabs>
          <w:tab w:val="left" w:pos="480"/>
        </w:tabs>
        <w:spacing w:line="360" w:lineRule="auto"/>
        <w:ind w:firstLine="241" w:firstLineChars="100"/>
        <w:rPr>
          <w:rFonts w:cs="宋体" w:asciiTheme="minorEastAsia" w:hAnsiTheme="minorEastAsia"/>
          <w:b/>
          <w:sz w:val="24"/>
          <w:highlight w:val="none"/>
        </w:rPr>
      </w:pPr>
      <w:r>
        <w:rPr>
          <w:rFonts w:hint="eastAsia" w:cs="宋体" w:asciiTheme="minorEastAsia" w:hAnsiTheme="minorEastAsia"/>
          <w:b/>
          <w:sz w:val="24"/>
          <w:highlight w:val="none"/>
        </w:rPr>
        <w:t>十二、知识产权保护和保密条款（如有）</w:t>
      </w:r>
    </w:p>
    <w:p w14:paraId="44A31EDC">
      <w:pPr>
        <w:tabs>
          <w:tab w:val="left" w:pos="480"/>
        </w:tabs>
        <w:spacing w:line="360" w:lineRule="auto"/>
        <w:ind w:firstLine="600" w:firstLineChars="250"/>
        <w:rPr>
          <w:rFonts w:cs="宋体" w:asciiTheme="minorEastAsia" w:hAnsiTheme="minorEastAsia"/>
          <w:sz w:val="24"/>
          <w:highlight w:val="none"/>
        </w:rPr>
      </w:pPr>
      <w:r>
        <w:rPr>
          <w:rFonts w:hint="eastAsia" w:cs="宋体" w:asciiTheme="minorEastAsia" w:hAnsiTheme="minorEastAsia"/>
          <w:sz w:val="24"/>
          <w:highlight w:val="none"/>
        </w:rPr>
        <w:t>（一）采购人承诺严格尊重供货商对本软件所拥有的知识产权保护。</w:t>
      </w:r>
    </w:p>
    <w:p w14:paraId="40E3AA46">
      <w:pPr>
        <w:tabs>
          <w:tab w:val="left" w:pos="480"/>
        </w:tabs>
        <w:spacing w:line="360" w:lineRule="auto"/>
        <w:ind w:firstLine="600" w:firstLineChars="250"/>
        <w:rPr>
          <w:rFonts w:cs="宋体" w:asciiTheme="minorEastAsia" w:hAnsiTheme="minorEastAsia"/>
          <w:sz w:val="24"/>
          <w:highlight w:val="none"/>
        </w:rPr>
      </w:pPr>
      <w:r>
        <w:rPr>
          <w:rFonts w:hint="eastAsia" w:cs="宋体" w:asciiTheme="minorEastAsia" w:hAnsiTheme="minorEastAsia"/>
          <w:sz w:val="24"/>
          <w:highlight w:val="none"/>
        </w:rPr>
        <w:t>采购人对本软件（包含相关的任何资料或数据）予以保密，不得对软件的代码进行跟踪、调试、破解，不得复制，也不得泄漏或许可他人使用。采购人未经供货商事先书面同意，不得向任何第三方泄露因购买软件从供货商所获得的商业秘密的全部或部分内容。</w:t>
      </w:r>
    </w:p>
    <w:p w14:paraId="79081CCA">
      <w:pPr>
        <w:tabs>
          <w:tab w:val="left" w:pos="480"/>
        </w:tabs>
        <w:spacing w:line="360" w:lineRule="auto"/>
        <w:ind w:firstLine="600" w:firstLineChars="250"/>
        <w:rPr>
          <w:rFonts w:cs="宋体" w:asciiTheme="minorEastAsia" w:hAnsiTheme="minorEastAsia"/>
          <w:sz w:val="24"/>
          <w:highlight w:val="none"/>
        </w:rPr>
      </w:pPr>
      <w:r>
        <w:rPr>
          <w:rFonts w:hint="eastAsia" w:cs="宋体" w:asciiTheme="minorEastAsia" w:hAnsiTheme="minorEastAsia"/>
          <w:sz w:val="24"/>
          <w:highlight w:val="none"/>
        </w:rPr>
        <w:t>（二）双方对本次合作提供的用户需求书、合同及其附件、实施计划、附件中规定的服务内容开展工作后所产生的相关文档，以及在软件开发过程中所提供的附加材料及商务信息，负有保密责任，未经书面认可，不得将以上内容以文字或其他传播媒介方式提供给任何第三方。</w:t>
      </w:r>
    </w:p>
    <w:p w14:paraId="474557A9">
      <w:pPr>
        <w:pStyle w:val="2"/>
        <w:ind w:firstLine="360" w:firstLineChars="150"/>
        <w:rPr>
          <w:rFonts w:asciiTheme="minorEastAsia" w:hAnsiTheme="minorEastAsia" w:eastAsiaTheme="minorEastAsia"/>
          <w:highlight w:val="none"/>
          <w:lang w:eastAsia="zh-CN"/>
        </w:rPr>
      </w:pPr>
      <w:r>
        <w:rPr>
          <w:rFonts w:hint="eastAsia" w:asciiTheme="minorEastAsia" w:hAnsiTheme="minorEastAsia" w:eastAsiaTheme="minorEastAsia"/>
          <w:sz w:val="24"/>
          <w:highlight w:val="none"/>
          <w:lang w:eastAsia="zh-CN"/>
        </w:rPr>
        <w:t>（三）供货商未经采购人许可不得将系统的所有相关数据、资料泄露给任何第三方。</w:t>
      </w:r>
    </w:p>
    <w:p w14:paraId="4A40C5FC">
      <w:pPr>
        <w:tabs>
          <w:tab w:val="left" w:pos="480"/>
        </w:tabs>
        <w:spacing w:line="360" w:lineRule="auto"/>
        <w:ind w:firstLine="241" w:firstLineChars="100"/>
        <w:rPr>
          <w:rFonts w:cs="宋体" w:asciiTheme="minorEastAsia" w:hAnsiTheme="minorEastAsia"/>
          <w:b/>
          <w:sz w:val="24"/>
          <w:highlight w:val="none"/>
        </w:rPr>
      </w:pPr>
      <w:r>
        <w:rPr>
          <w:rFonts w:hint="eastAsia" w:cs="宋体" w:asciiTheme="minorEastAsia" w:hAnsiTheme="minorEastAsia"/>
          <w:b/>
          <w:sz w:val="24"/>
          <w:highlight w:val="none"/>
        </w:rPr>
        <w:t>十三、合同生效</w:t>
      </w:r>
    </w:p>
    <w:p w14:paraId="31F83B5A">
      <w:pPr>
        <w:tabs>
          <w:tab w:val="left" w:pos="480"/>
        </w:tabs>
        <w:spacing w:line="360" w:lineRule="auto"/>
        <w:ind w:firstLine="600" w:firstLineChars="250"/>
        <w:rPr>
          <w:rFonts w:cs="宋体" w:asciiTheme="minorEastAsia" w:hAnsiTheme="minorEastAsia"/>
          <w:b/>
          <w:sz w:val="24"/>
          <w:highlight w:val="none"/>
        </w:rPr>
      </w:pPr>
      <w:r>
        <w:rPr>
          <w:rFonts w:hint="eastAsia" w:cs="宋体" w:asciiTheme="minorEastAsia" w:hAnsiTheme="minorEastAsia"/>
          <w:sz w:val="24"/>
          <w:highlight w:val="none"/>
        </w:rPr>
        <w:t>本合同一式</w:t>
      </w:r>
      <w:r>
        <w:rPr>
          <w:rFonts w:hint="eastAsia" w:cs="宋体" w:asciiTheme="minorEastAsia" w:hAnsiTheme="minorEastAsia"/>
          <w:sz w:val="24"/>
          <w:highlight w:val="none"/>
          <w:u w:val="single"/>
        </w:rPr>
        <w:t xml:space="preserve">   </w:t>
      </w:r>
      <w:r>
        <w:rPr>
          <w:rFonts w:hint="eastAsia" w:cs="宋体" w:asciiTheme="minorEastAsia" w:hAnsiTheme="minorEastAsia"/>
          <w:sz w:val="24"/>
          <w:highlight w:val="none"/>
        </w:rPr>
        <w:t>份，采购人持</w:t>
      </w:r>
      <w:r>
        <w:rPr>
          <w:rFonts w:hint="eastAsia" w:cs="宋体" w:asciiTheme="minorEastAsia" w:hAnsiTheme="minorEastAsia"/>
          <w:sz w:val="24"/>
          <w:highlight w:val="none"/>
          <w:u w:val="single"/>
        </w:rPr>
        <w:t xml:space="preserve">   </w:t>
      </w:r>
      <w:r>
        <w:rPr>
          <w:rFonts w:hint="eastAsia" w:cs="宋体" w:asciiTheme="minorEastAsia" w:hAnsiTheme="minorEastAsia"/>
          <w:sz w:val="24"/>
          <w:highlight w:val="none"/>
        </w:rPr>
        <w:t>份，供货商持</w:t>
      </w:r>
      <w:r>
        <w:rPr>
          <w:rFonts w:hint="eastAsia" w:cs="宋体" w:asciiTheme="minorEastAsia" w:hAnsiTheme="minorEastAsia"/>
          <w:sz w:val="24"/>
          <w:highlight w:val="none"/>
          <w:u w:val="single"/>
        </w:rPr>
        <w:t xml:space="preserve">   </w:t>
      </w:r>
      <w:r>
        <w:rPr>
          <w:rFonts w:hint="eastAsia" w:cs="宋体" w:asciiTheme="minorEastAsia" w:hAnsiTheme="minorEastAsia"/>
          <w:sz w:val="24"/>
          <w:highlight w:val="none"/>
        </w:rPr>
        <w:t>份，银行持</w:t>
      </w:r>
      <w:r>
        <w:rPr>
          <w:rFonts w:hint="eastAsia" w:cs="宋体" w:asciiTheme="minorEastAsia" w:hAnsiTheme="minorEastAsia"/>
          <w:sz w:val="24"/>
          <w:highlight w:val="none"/>
          <w:u w:val="single"/>
        </w:rPr>
        <w:t xml:space="preserve">   </w:t>
      </w:r>
      <w:r>
        <w:rPr>
          <w:rFonts w:hint="eastAsia" w:cs="宋体" w:asciiTheme="minorEastAsia" w:hAnsiTheme="minorEastAsia"/>
          <w:sz w:val="24"/>
          <w:highlight w:val="none"/>
        </w:rPr>
        <w:t>份（如有）。本合同自采购人、供货商、银行方（如有）签字盖章之日起生效，质保期结束后，自动终止（但合同的服务承诺除外）。</w:t>
      </w:r>
    </w:p>
    <w:p w14:paraId="1B09A744">
      <w:pPr>
        <w:tabs>
          <w:tab w:val="left" w:pos="480"/>
        </w:tabs>
        <w:spacing w:line="360" w:lineRule="auto"/>
        <w:ind w:firstLine="241" w:firstLineChars="100"/>
        <w:rPr>
          <w:rFonts w:cs="宋体" w:asciiTheme="minorEastAsia" w:hAnsiTheme="minorEastAsia"/>
          <w:b/>
          <w:sz w:val="24"/>
          <w:highlight w:val="none"/>
        </w:rPr>
      </w:pPr>
      <w:r>
        <w:rPr>
          <w:rFonts w:hint="eastAsia" w:cs="宋体" w:asciiTheme="minorEastAsia" w:hAnsiTheme="minorEastAsia"/>
          <w:b/>
          <w:sz w:val="24"/>
          <w:highlight w:val="none"/>
        </w:rPr>
        <w:t>十三、其他事项</w:t>
      </w:r>
    </w:p>
    <w:p w14:paraId="5C629EB0">
      <w:pPr>
        <w:tabs>
          <w:tab w:val="left" w:pos="480"/>
        </w:tabs>
        <w:spacing w:line="360" w:lineRule="auto"/>
        <w:ind w:firstLine="600" w:firstLineChars="250"/>
        <w:rPr>
          <w:rFonts w:cs="宋体" w:asciiTheme="minorEastAsia" w:hAnsiTheme="minorEastAsia"/>
          <w:sz w:val="24"/>
          <w:highlight w:val="none"/>
        </w:rPr>
      </w:pPr>
      <w:r>
        <w:rPr>
          <w:rFonts w:hint="eastAsia" w:cs="宋体" w:asciiTheme="minorEastAsia" w:hAnsiTheme="minorEastAsia"/>
          <w:sz w:val="24"/>
          <w:highlight w:val="none"/>
        </w:rPr>
        <w:t>（一）合同未尽事宜，由甲、乙双方协商后，签订补充协议，与本合同具有同等法律效力。补充协议与本协议不一致的，以补充协议为准。</w:t>
      </w:r>
    </w:p>
    <w:p w14:paraId="4E6EAE9D">
      <w:pPr>
        <w:tabs>
          <w:tab w:val="left" w:pos="480"/>
        </w:tabs>
        <w:spacing w:line="360" w:lineRule="auto"/>
        <w:ind w:firstLine="600" w:firstLineChars="250"/>
        <w:rPr>
          <w:rFonts w:cs="宋体" w:asciiTheme="minorEastAsia" w:hAnsiTheme="minorEastAsia"/>
          <w:sz w:val="24"/>
          <w:highlight w:val="none"/>
        </w:rPr>
      </w:pPr>
      <w:r>
        <w:rPr>
          <w:rFonts w:hint="eastAsia" w:cs="宋体" w:asciiTheme="minorEastAsia" w:hAnsiTheme="minorEastAsia"/>
          <w:sz w:val="24"/>
          <w:highlight w:val="none"/>
        </w:rPr>
        <w:t>（二）合同一经签订，不得擅自变更、中止或终止合同。对确需变更、调整或中止、终止合同的，有法律规定的按照法律规定，除合同约定外，由甲乙丁（如有）多方再行协商，协商一致前，原合同或条款继续履行。</w:t>
      </w:r>
    </w:p>
    <w:p w14:paraId="072D8D5D">
      <w:pPr>
        <w:tabs>
          <w:tab w:val="left" w:pos="480"/>
        </w:tabs>
        <w:spacing w:line="360" w:lineRule="auto"/>
        <w:ind w:firstLine="600" w:firstLineChars="250"/>
        <w:rPr>
          <w:rFonts w:cs="宋体" w:asciiTheme="minorEastAsia" w:hAnsiTheme="minorEastAsia"/>
          <w:sz w:val="24"/>
          <w:highlight w:val="none"/>
        </w:rPr>
      </w:pPr>
      <w:r>
        <w:rPr>
          <w:rFonts w:hint="eastAsia" w:cs="宋体" w:asciiTheme="minorEastAsia" w:hAnsiTheme="minorEastAsia"/>
          <w:sz w:val="24"/>
          <w:highlight w:val="none"/>
        </w:rPr>
        <w:t>（三）本合同按照中华人民共和国的现行法律进行解释。</w:t>
      </w:r>
      <w:r>
        <w:rPr>
          <w:rFonts w:asciiTheme="minorEastAsia" w:hAnsiTheme="minorEastAsia"/>
          <w:highlight w:val="none"/>
        </w:rPr>
        <w:br w:type="page"/>
      </w:r>
      <w:r>
        <w:rPr>
          <w:rFonts w:hint="eastAsia" w:cs="宋体" w:asciiTheme="minorEastAsia" w:hAnsiTheme="minorEastAsia"/>
          <w:sz w:val="24"/>
          <w:highlight w:val="none"/>
        </w:rPr>
        <w:t>本页无正文，为《西安市第三医院</w:t>
      </w:r>
      <w:r>
        <w:rPr>
          <w:rFonts w:hint="eastAsia" w:cs="宋体" w:asciiTheme="minorEastAsia" w:hAnsiTheme="minorEastAsia"/>
          <w:sz w:val="24"/>
          <w:highlight w:val="none"/>
          <w:u w:val="single"/>
        </w:rPr>
        <w:t xml:space="preserve">                    </w:t>
      </w:r>
      <w:r>
        <w:rPr>
          <w:rFonts w:hint="eastAsia" w:cs="宋体" w:asciiTheme="minorEastAsia" w:hAnsiTheme="minorEastAsia"/>
          <w:sz w:val="24"/>
          <w:highlight w:val="none"/>
        </w:rPr>
        <w:t>银医合作项目合同》签字页</w:t>
      </w:r>
    </w:p>
    <w:p w14:paraId="7994D178">
      <w:pPr>
        <w:pStyle w:val="2"/>
        <w:jc w:val="left"/>
        <w:rPr>
          <w:rFonts w:asciiTheme="minorEastAsia" w:hAnsiTheme="minorEastAsia" w:eastAsiaTheme="minorEastAsia"/>
          <w:sz w:val="24"/>
          <w:highlight w:val="none"/>
          <w:lang w:eastAsia="zh-CN"/>
        </w:rPr>
      </w:pPr>
    </w:p>
    <w:p w14:paraId="5D34DAA2">
      <w:pPr>
        <w:pStyle w:val="2"/>
        <w:jc w:val="left"/>
        <w:rPr>
          <w:rFonts w:asciiTheme="minorEastAsia" w:hAnsiTheme="minorEastAsia" w:eastAsiaTheme="minorEastAsia"/>
          <w:sz w:val="24"/>
          <w:highlight w:val="none"/>
          <w:lang w:eastAsia="zh-CN"/>
        </w:rPr>
      </w:pPr>
    </w:p>
    <w:p w14:paraId="4FB4645F">
      <w:pPr>
        <w:pStyle w:val="2"/>
        <w:jc w:val="left"/>
        <w:rPr>
          <w:rFonts w:asciiTheme="minorEastAsia" w:hAnsiTheme="minorEastAsia" w:eastAsiaTheme="minorEastAsia"/>
          <w:sz w:val="24"/>
          <w:highlight w:val="none"/>
          <w:lang w:eastAsia="zh-CN"/>
        </w:rPr>
      </w:pPr>
      <w:r>
        <w:rPr>
          <w:rFonts w:hint="eastAsia" w:asciiTheme="minorEastAsia" w:hAnsiTheme="minorEastAsia" w:eastAsiaTheme="minorEastAsia"/>
          <w:sz w:val="24"/>
          <w:highlight w:val="none"/>
          <w:lang w:eastAsia="zh-CN"/>
        </w:rPr>
        <w:t>甲方（采购人公章/合同专用章）：西安市第三医院</w:t>
      </w:r>
    </w:p>
    <w:p w14:paraId="567B8373">
      <w:pPr>
        <w:pStyle w:val="2"/>
        <w:jc w:val="left"/>
        <w:rPr>
          <w:rFonts w:asciiTheme="minorEastAsia" w:hAnsiTheme="minorEastAsia" w:eastAsiaTheme="minorEastAsia"/>
          <w:sz w:val="24"/>
          <w:highlight w:val="none"/>
          <w:lang w:eastAsia="zh-CN"/>
        </w:rPr>
      </w:pPr>
      <w:r>
        <w:rPr>
          <w:rFonts w:hint="eastAsia" w:asciiTheme="minorEastAsia" w:hAnsiTheme="minorEastAsia" w:eastAsiaTheme="minorEastAsia"/>
          <w:sz w:val="24"/>
          <w:highlight w:val="none"/>
          <w:lang w:eastAsia="zh-CN"/>
        </w:rPr>
        <w:t>法定代表人（负责人）或授权代理人（签章）：</w:t>
      </w:r>
    </w:p>
    <w:p w14:paraId="5B6EC50B">
      <w:pPr>
        <w:pStyle w:val="2"/>
        <w:jc w:val="left"/>
        <w:rPr>
          <w:rFonts w:asciiTheme="minorEastAsia" w:hAnsiTheme="minorEastAsia" w:eastAsiaTheme="minorEastAsia"/>
          <w:sz w:val="24"/>
          <w:highlight w:val="none"/>
          <w:lang w:eastAsia="zh-CN"/>
        </w:rPr>
      </w:pPr>
    </w:p>
    <w:p w14:paraId="438A10E9">
      <w:pPr>
        <w:pStyle w:val="2"/>
        <w:jc w:val="left"/>
        <w:rPr>
          <w:rFonts w:asciiTheme="minorEastAsia" w:hAnsiTheme="minorEastAsia" w:eastAsiaTheme="minorEastAsia"/>
          <w:sz w:val="24"/>
          <w:highlight w:val="none"/>
          <w:lang w:eastAsia="zh-CN"/>
        </w:rPr>
      </w:pPr>
    </w:p>
    <w:p w14:paraId="22B79349">
      <w:pPr>
        <w:pStyle w:val="2"/>
        <w:jc w:val="left"/>
        <w:rPr>
          <w:rFonts w:asciiTheme="minorEastAsia" w:hAnsiTheme="minorEastAsia" w:eastAsiaTheme="minorEastAsia"/>
          <w:sz w:val="24"/>
          <w:highlight w:val="none"/>
          <w:lang w:eastAsia="zh-CN"/>
        </w:rPr>
      </w:pPr>
    </w:p>
    <w:p w14:paraId="779A2CC9">
      <w:pPr>
        <w:pStyle w:val="2"/>
        <w:jc w:val="left"/>
        <w:rPr>
          <w:rFonts w:asciiTheme="minorEastAsia" w:hAnsiTheme="minorEastAsia" w:eastAsiaTheme="minorEastAsia"/>
          <w:sz w:val="24"/>
          <w:highlight w:val="none"/>
          <w:lang w:eastAsia="zh-CN"/>
        </w:rPr>
      </w:pPr>
      <w:r>
        <w:rPr>
          <w:rFonts w:hint="eastAsia" w:asciiTheme="minorEastAsia" w:hAnsiTheme="minorEastAsia" w:eastAsiaTheme="minorEastAsia"/>
          <w:sz w:val="24"/>
          <w:highlight w:val="none"/>
          <w:lang w:eastAsia="zh-CN"/>
        </w:rPr>
        <w:t xml:space="preserve">乙方（供货商公章/合同专用章）： </w:t>
      </w:r>
    </w:p>
    <w:p w14:paraId="70B50FFB">
      <w:pPr>
        <w:pStyle w:val="2"/>
        <w:jc w:val="left"/>
        <w:rPr>
          <w:rFonts w:asciiTheme="minorEastAsia" w:hAnsiTheme="minorEastAsia" w:eastAsiaTheme="minorEastAsia"/>
          <w:sz w:val="24"/>
          <w:highlight w:val="none"/>
          <w:lang w:eastAsia="zh-CN"/>
        </w:rPr>
      </w:pPr>
      <w:r>
        <w:rPr>
          <w:rFonts w:hint="eastAsia" w:asciiTheme="minorEastAsia" w:hAnsiTheme="minorEastAsia" w:eastAsiaTheme="minorEastAsia"/>
          <w:sz w:val="24"/>
          <w:highlight w:val="none"/>
          <w:lang w:eastAsia="zh-CN"/>
        </w:rPr>
        <w:t>法定代表人（负责人）或授权代理人（签章）：</w:t>
      </w:r>
    </w:p>
    <w:p w14:paraId="6D32FEDA">
      <w:pPr>
        <w:pStyle w:val="2"/>
        <w:jc w:val="left"/>
        <w:rPr>
          <w:rFonts w:asciiTheme="minorEastAsia" w:hAnsiTheme="minorEastAsia" w:eastAsiaTheme="minorEastAsia"/>
          <w:sz w:val="24"/>
          <w:highlight w:val="none"/>
          <w:lang w:eastAsia="zh-CN"/>
        </w:rPr>
      </w:pPr>
    </w:p>
    <w:p w14:paraId="5867D5F9">
      <w:pPr>
        <w:pStyle w:val="2"/>
        <w:jc w:val="left"/>
        <w:rPr>
          <w:rFonts w:asciiTheme="minorEastAsia" w:hAnsiTheme="minorEastAsia" w:eastAsiaTheme="minorEastAsia"/>
          <w:sz w:val="24"/>
          <w:highlight w:val="none"/>
          <w:lang w:eastAsia="zh-CN"/>
        </w:rPr>
      </w:pPr>
    </w:p>
    <w:p w14:paraId="22889723">
      <w:pPr>
        <w:pStyle w:val="2"/>
        <w:jc w:val="left"/>
        <w:rPr>
          <w:rFonts w:asciiTheme="minorEastAsia" w:hAnsiTheme="minorEastAsia" w:eastAsiaTheme="minorEastAsia"/>
          <w:sz w:val="24"/>
          <w:highlight w:val="none"/>
          <w:lang w:eastAsia="zh-CN"/>
        </w:rPr>
      </w:pPr>
    </w:p>
    <w:p w14:paraId="6D1ADFD8">
      <w:pPr>
        <w:pStyle w:val="2"/>
        <w:jc w:val="left"/>
        <w:rPr>
          <w:rFonts w:asciiTheme="minorEastAsia" w:hAnsiTheme="minorEastAsia" w:eastAsiaTheme="minorEastAsia"/>
          <w:sz w:val="24"/>
          <w:highlight w:val="none"/>
          <w:lang w:eastAsia="zh-CN"/>
        </w:rPr>
      </w:pPr>
      <w:r>
        <w:rPr>
          <w:rFonts w:hint="eastAsia" w:asciiTheme="minorEastAsia" w:hAnsiTheme="minorEastAsia" w:eastAsiaTheme="minorEastAsia"/>
          <w:sz w:val="24"/>
          <w:highlight w:val="none"/>
          <w:lang w:eastAsia="zh-CN"/>
        </w:rPr>
        <w:t xml:space="preserve">丙方（银行公章/合同专用章）： </w:t>
      </w:r>
    </w:p>
    <w:p w14:paraId="3B0A6245">
      <w:pPr>
        <w:pStyle w:val="2"/>
        <w:jc w:val="left"/>
        <w:rPr>
          <w:rFonts w:asciiTheme="minorEastAsia" w:hAnsiTheme="minorEastAsia" w:eastAsiaTheme="minorEastAsia"/>
          <w:sz w:val="24"/>
          <w:highlight w:val="none"/>
          <w:lang w:eastAsia="zh-CN"/>
        </w:rPr>
      </w:pPr>
      <w:r>
        <w:rPr>
          <w:rFonts w:hint="eastAsia" w:asciiTheme="minorEastAsia" w:hAnsiTheme="minorEastAsia" w:eastAsiaTheme="minorEastAsia"/>
          <w:sz w:val="24"/>
          <w:highlight w:val="none"/>
          <w:lang w:eastAsia="zh-CN"/>
        </w:rPr>
        <w:t>法定代表人（负责人）或授权代理人（签章）：</w:t>
      </w:r>
    </w:p>
    <w:p w14:paraId="1868D433">
      <w:pPr>
        <w:pStyle w:val="2"/>
        <w:jc w:val="left"/>
        <w:rPr>
          <w:rFonts w:asciiTheme="minorEastAsia" w:hAnsiTheme="minorEastAsia" w:eastAsiaTheme="minorEastAsia"/>
          <w:sz w:val="24"/>
          <w:highlight w:val="none"/>
          <w:lang w:eastAsia="zh-CN"/>
        </w:rPr>
      </w:pPr>
    </w:p>
    <w:p w14:paraId="08A167EC">
      <w:pPr>
        <w:pStyle w:val="2"/>
        <w:jc w:val="left"/>
        <w:rPr>
          <w:rFonts w:asciiTheme="minorEastAsia" w:hAnsiTheme="minorEastAsia" w:eastAsiaTheme="minorEastAsia"/>
          <w:sz w:val="24"/>
          <w:highlight w:val="none"/>
          <w:lang w:eastAsia="zh-CN"/>
        </w:rPr>
      </w:pPr>
    </w:p>
    <w:p w14:paraId="331C6F79">
      <w:pPr>
        <w:pStyle w:val="2"/>
        <w:jc w:val="left"/>
        <w:rPr>
          <w:rFonts w:asciiTheme="minorEastAsia" w:hAnsiTheme="minorEastAsia" w:eastAsiaTheme="minorEastAsia"/>
          <w:sz w:val="24"/>
          <w:highlight w:val="none"/>
          <w:lang w:eastAsia="zh-CN"/>
        </w:rPr>
      </w:pPr>
    </w:p>
    <w:p w14:paraId="64ED4B46">
      <w:pPr>
        <w:pStyle w:val="2"/>
        <w:jc w:val="left"/>
        <w:rPr>
          <w:rFonts w:asciiTheme="minorEastAsia" w:hAnsiTheme="minorEastAsia" w:eastAsiaTheme="minorEastAsia"/>
          <w:sz w:val="24"/>
          <w:highlight w:val="none"/>
          <w:lang w:eastAsia="zh-CN"/>
        </w:rPr>
      </w:pPr>
    </w:p>
    <w:p w14:paraId="7E6D9FDB">
      <w:pPr>
        <w:pStyle w:val="2"/>
        <w:jc w:val="left"/>
        <w:rPr>
          <w:rFonts w:asciiTheme="minorEastAsia" w:hAnsiTheme="minorEastAsia" w:eastAsiaTheme="minorEastAsia"/>
          <w:sz w:val="24"/>
          <w:highlight w:val="none"/>
          <w:lang w:eastAsia="zh-CN"/>
        </w:rPr>
      </w:pPr>
    </w:p>
    <w:p w14:paraId="4E9A962F">
      <w:pPr>
        <w:pStyle w:val="2"/>
        <w:jc w:val="left"/>
        <w:rPr>
          <w:rFonts w:asciiTheme="minorEastAsia" w:hAnsiTheme="minorEastAsia" w:eastAsiaTheme="minorEastAsia"/>
          <w:sz w:val="24"/>
          <w:highlight w:val="none"/>
          <w:lang w:eastAsia="zh-CN"/>
        </w:rPr>
      </w:pPr>
    </w:p>
    <w:p w14:paraId="1B806C35">
      <w:pPr>
        <w:pStyle w:val="2"/>
        <w:jc w:val="left"/>
        <w:rPr>
          <w:rFonts w:asciiTheme="minorEastAsia" w:hAnsiTheme="minorEastAsia" w:eastAsiaTheme="minorEastAsia"/>
          <w:sz w:val="24"/>
          <w:highlight w:val="none"/>
          <w:lang w:eastAsia="zh-CN"/>
        </w:rPr>
      </w:pPr>
    </w:p>
    <w:p w14:paraId="28C3ECA5">
      <w:pPr>
        <w:pStyle w:val="2"/>
        <w:jc w:val="left"/>
        <w:rPr>
          <w:rFonts w:asciiTheme="minorEastAsia" w:hAnsiTheme="minorEastAsia" w:eastAsiaTheme="minorEastAsia"/>
          <w:sz w:val="24"/>
          <w:highlight w:val="none"/>
        </w:rPr>
      </w:pPr>
      <w:r>
        <w:rPr>
          <w:rFonts w:hint="eastAsia" w:asciiTheme="minorEastAsia" w:hAnsiTheme="minorEastAsia" w:eastAsiaTheme="minorEastAsia"/>
          <w:sz w:val="24"/>
          <w:highlight w:val="none"/>
          <w:lang w:eastAsia="zh-CN"/>
        </w:rPr>
        <w:t xml:space="preserve">                                             </w:t>
      </w:r>
      <w:r>
        <w:rPr>
          <w:rFonts w:hint="eastAsia" w:asciiTheme="minorEastAsia" w:hAnsiTheme="minorEastAsia" w:eastAsiaTheme="minorEastAsia"/>
          <w:sz w:val="24"/>
          <w:highlight w:val="none"/>
          <w:u w:val="single"/>
          <w:lang w:eastAsia="zh-CN"/>
        </w:rPr>
        <w:t xml:space="preserve">      </w:t>
      </w:r>
      <w:r>
        <w:rPr>
          <w:rFonts w:hint="eastAsia" w:asciiTheme="minorEastAsia" w:hAnsiTheme="minorEastAsia" w:eastAsiaTheme="minorEastAsia"/>
          <w:sz w:val="24"/>
          <w:highlight w:val="none"/>
        </w:rPr>
        <w:t>年</w:t>
      </w:r>
      <w:r>
        <w:rPr>
          <w:rFonts w:hint="eastAsia" w:asciiTheme="minorEastAsia" w:hAnsiTheme="minorEastAsia" w:eastAsiaTheme="minorEastAsia"/>
          <w:sz w:val="24"/>
          <w:highlight w:val="none"/>
          <w:u w:val="single"/>
        </w:rPr>
        <w:t xml:space="preserve">      </w:t>
      </w:r>
      <w:r>
        <w:rPr>
          <w:rFonts w:hint="eastAsia" w:asciiTheme="minorEastAsia" w:hAnsiTheme="minorEastAsia" w:eastAsiaTheme="minorEastAsia"/>
          <w:sz w:val="24"/>
          <w:highlight w:val="none"/>
        </w:rPr>
        <w:t>月</w:t>
      </w:r>
      <w:r>
        <w:rPr>
          <w:rFonts w:hint="eastAsia" w:asciiTheme="minorEastAsia" w:hAnsiTheme="minorEastAsia" w:eastAsiaTheme="minorEastAsia"/>
          <w:sz w:val="24"/>
          <w:highlight w:val="none"/>
          <w:u w:val="single"/>
        </w:rPr>
        <w:t xml:space="preserve">      </w:t>
      </w:r>
      <w:r>
        <w:rPr>
          <w:rFonts w:hint="eastAsia" w:asciiTheme="minorEastAsia" w:hAnsiTheme="minorEastAsia" w:eastAsiaTheme="minorEastAsia"/>
          <w:sz w:val="24"/>
          <w:highlight w:val="none"/>
        </w:rPr>
        <w:t>日</w:t>
      </w:r>
    </w:p>
    <w:p w14:paraId="7F5A430A">
      <w:pPr>
        <w:pStyle w:val="2"/>
        <w:jc w:val="left"/>
        <w:rPr>
          <w:rFonts w:asciiTheme="minorEastAsia" w:hAnsiTheme="minorEastAsia" w:eastAsiaTheme="minorEastAsia"/>
          <w:sz w:val="24"/>
          <w:highlight w:val="none"/>
        </w:rPr>
      </w:pPr>
    </w:p>
    <w:p w14:paraId="44CAD350">
      <w:pPr>
        <w:pStyle w:val="5"/>
        <w:rPr>
          <w:rFonts w:hint="default" w:asciiTheme="minorEastAsia" w:hAnsiTheme="minorEastAsia"/>
          <w:highlight w:val="none"/>
        </w:rPr>
      </w:pPr>
    </w:p>
    <w:p w14:paraId="3419877E">
      <w:pPr>
        <w:pStyle w:val="5"/>
        <w:rPr>
          <w:rFonts w:hint="default"/>
          <w:highlight w:val="none"/>
        </w:rPr>
      </w:pPr>
    </w:p>
    <w:p w14:paraId="5EAA652B">
      <w:pPr>
        <w:pStyle w:val="5"/>
        <w:rPr>
          <w:rFonts w:hint="default"/>
          <w:highlight w:val="none"/>
        </w:rPr>
      </w:pPr>
    </w:p>
    <w:p w14:paraId="0BCB2B1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8D5328"/>
    <w:multiLevelType w:val="multilevel"/>
    <w:tmpl w:val="008D5328"/>
    <w:lvl w:ilvl="0" w:tentative="0">
      <w:start w:val="1"/>
      <w:numFmt w:val="japaneseCounting"/>
      <w:lvlText w:val="%1、"/>
      <w:lvlJc w:val="left"/>
      <w:pPr>
        <w:ind w:left="720" w:hanging="72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357EFA"/>
    <w:rsid w:val="27357EFA"/>
    <w:rsid w:val="2E1031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 w:type="paragraph" w:styleId="6">
    <w:name w:val="List Paragraph"/>
    <w:basedOn w:val="1"/>
    <w:qFormat/>
    <w:uiPriority w:val="34"/>
    <w:pPr>
      <w:widowControl/>
      <w:kinsoku w:val="0"/>
      <w:autoSpaceDE w:val="0"/>
      <w:autoSpaceDN w:val="0"/>
      <w:adjustRightInd w:val="0"/>
      <w:snapToGrid w:val="0"/>
      <w:ind w:firstLine="420" w:firstLineChars="200"/>
      <w:jc w:val="left"/>
      <w:textAlignment w:val="baseline"/>
    </w:pPr>
    <w:rPr>
      <w:snapToGrid w:val="0"/>
      <w:color w:val="000000"/>
      <w:kern w:val="0"/>
      <w:szCs w:val="21"/>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2025-04-09T09:07:00Z</dcterms:created>
  <dc:creator>豆、浆</dc:creator>
  <cp:lastModifiedBy>豆、浆</cp:lastModifiedBy>
  <dcterms:modified xsi:type="dcterms:W3CDTF">2025-04-09T09:08:12Z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006096FB04BE49B7B0FB3EBB1B0A2D5B_11</vt:lpwstr>
  </property>
  <property fmtid="{D5CDD505-2E9C-101B-9397-08002B2CF9AE}" pid="4" name="KSOTemplateDocerSaveRecord">
    <vt:lpwstr>eyJoZGlkIjoiYzAwNjk4NTUwMzAyYzU4YWZkOWU3NmQ3MmI1ZGZlMDMiLCJ1c2VySWQiOiIxMDY3MTk2NDE2In0=</vt:lpwstr>
  </property>
</Properties>
</file>