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版本号：OTXA-251003103420250409001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网络核心设备维保</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OTXA-2510031034</w:t>
      </w:r>
      <w:r>
        <w:br/>
      </w:r>
      <w:r>
        <w:br/>
      </w:r>
      <w:r>
        <w:br/>
      </w:r>
    </w:p>
    <w:p>
      <w:pPr>
        <w:pStyle w:val="null3"/>
        <w:jc w:val="center"/>
        <w:outlineLvl w:val="2"/>
      </w:pPr>
      <w:r>
        <w:rPr>
          <w:rFonts w:ascii="仿宋_GB2312" w:hAnsi="仿宋_GB2312" w:cs="仿宋_GB2312" w:eastAsia="仿宋_GB2312"/>
          <w:sz w:val="28"/>
          <w:b/>
        </w:rPr>
        <w:t>西安市第三医院</w:t>
      </w:r>
    </w:p>
    <w:p>
      <w:pPr>
        <w:pStyle w:val="null3"/>
        <w:jc w:val="center"/>
        <w:outlineLvl w:val="2"/>
      </w:pPr>
      <w:r>
        <w:rPr>
          <w:rFonts w:ascii="仿宋_GB2312" w:hAnsi="仿宋_GB2312" w:cs="仿宋_GB2312" w:eastAsia="仿宋_GB2312"/>
          <w:sz w:val="28"/>
          <w:b/>
        </w:rPr>
        <w:t>东方（西安）国际招标有限公司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东方（西安）国际招标有限公司</w:t>
      </w:r>
      <w:r>
        <w:rPr>
          <w:rFonts w:ascii="仿宋_GB2312" w:hAnsi="仿宋_GB2312" w:cs="仿宋_GB2312" w:eastAsia="仿宋_GB2312"/>
        </w:rPr>
        <w:t>（以下简称“代理机构”）受</w:t>
      </w:r>
      <w:r>
        <w:rPr>
          <w:rFonts w:ascii="仿宋_GB2312" w:hAnsi="仿宋_GB2312" w:cs="仿宋_GB2312" w:eastAsia="仿宋_GB2312"/>
        </w:rPr>
        <w:t>西安市第三医院</w:t>
      </w:r>
      <w:r>
        <w:rPr>
          <w:rFonts w:ascii="仿宋_GB2312" w:hAnsi="仿宋_GB2312" w:cs="仿宋_GB2312" w:eastAsia="仿宋_GB2312"/>
        </w:rPr>
        <w:t>委托，拟对</w:t>
      </w:r>
      <w:r>
        <w:rPr>
          <w:rFonts w:ascii="仿宋_GB2312" w:hAnsi="仿宋_GB2312" w:cs="仿宋_GB2312" w:eastAsia="仿宋_GB2312"/>
        </w:rPr>
        <w:t>网络核心设备维保</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OTXA-2510031034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网络核心设备维保</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随着医院业务的迅猛发展，医院信息化建设的逐步完善，医院各科室使用的信息化系统正在不断增多， 网络核心设备的稳定运行是医院所有信息系统正常运作的基础。为了医院各个业务系统的稳定运行，更好的 发挥信息化效益，本次项目采购一年的网络核心设备维保服务，确保系统正常运行。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1、具有独立承担民事责任的能力：：（一）有效的主体资格证明：在中华人民共和国境内注册，并有效存续的营业执照/事业单位法人证书/非企业专业服务机构执业许可证/民 办非企业单位登记证书、税务登记证、组织机构代码证，或“三证合 一 ”后的注册登记证。 1.2 法定代表人委托授权书：（投标人为法人单位的）法定代表人亲自参加投标时，须提供法定代表人证明书及身份证复印件；法定代表人授权他人参加投标时，须提供法定代表人委托授权书、身份证及授权代表在投标单位近3个月缴纳社保证明材料。（投标人为非法人单位的）投标文件中凡是需要法定代表人签字或盖章之处，非法人单位的负责人均参照执行。 注：被授权代表须提供开标前连续近三个月在投标人单位的社保缴纳证明材料。</w:t>
      </w:r>
    </w:p>
    <w:p>
      <w:pPr>
        <w:pStyle w:val="null3"/>
      </w:pPr>
      <w:r>
        <w:rPr>
          <w:rFonts w:ascii="仿宋_GB2312" w:hAnsi="仿宋_GB2312" w:cs="仿宋_GB2312" w:eastAsia="仿宋_GB2312"/>
        </w:rPr>
        <w:t>2、具有良好的商业信誉和 健全的财务会计制度：：（二）财务状况报告（任选其一）：1、提供 2023 年度经审计的财务会计报告（至少包括审计报 告、资产负债表和利润表，成立时间至提交投标文件截止时间不足一 年的可提供成立后任意时段的资产 负债表）；2、或提供投标人基本存 款账户信息及开标日期前三个月内其基本存款账户开户银行出具的资信证明。3 财政部门认可的政府采购专业担保机构出具的投标担保函 （以上三种形式的资料提供任何一 种即可）；</w:t>
      </w:r>
    </w:p>
    <w:p>
      <w:pPr>
        <w:pStyle w:val="null3"/>
      </w:pPr>
      <w:r>
        <w:rPr>
          <w:rFonts w:ascii="仿宋_GB2312" w:hAnsi="仿宋_GB2312" w:cs="仿宋_GB2312" w:eastAsia="仿宋_GB2312"/>
        </w:rPr>
        <w:t>3、有依法缴纳税收和社会 保障资金的良好记录：：3.1、社会保障资金缴纳证明：提供开标前一年内已缴纳至少三个月的社会保障资金缴存单据或社保机构开具的社会保险参保缴 费情况证明，单据或证明上应有社保机构或代收机构的公章或业务专用章。依法不需要缴纳社会保障资金的投标人应提供相关文件证明。 3.2、税收缴纳证明：提供开标前一年内已缴纳的至少三个月的纳税证明或完税证明，纳税证明或完税证明上应有代收机构或税务机关的公章或业务专用章。依法免税的投标人应提供相关文件证明。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4、参加政府采购活动前三年内，在经营活动中没有重大违法记录：提供书面声明（原件）。以及未被列入失信被执行人、重大税收违法案件当事人名单、政府采购严重违法失信行为记录名单的书面声明。同时附投标人在“信用中国 ”和“ 中国政府采购网 ”网站上的信用查询 结果。：4. 无重大违法记录声明：参加本次政府采购活动前 3 年内在经营活动中没有重大违法记录，以及未被列入失信被执行人、重大税收违法案 件当事人名单、政府采购严重违法 失信行为记录名单的书面声明。以及未被列入失信被执行人、重大税收违法案件当事人名单、政府采 购严重违法失信行为记录名单的书 面声明。同时附投标人在“信用中国 ”和“ 中国政府采购网 ”网站上 的信用查询结果。</w:t>
      </w:r>
    </w:p>
    <w:p>
      <w:pPr>
        <w:pStyle w:val="null3"/>
      </w:pPr>
      <w:r>
        <w:rPr>
          <w:rFonts w:ascii="仿宋_GB2312" w:hAnsi="仿宋_GB2312" w:cs="仿宋_GB2312" w:eastAsia="仿宋_GB2312"/>
        </w:rPr>
        <w:t>5、供应商承诺：5.1未与交叉控股股东、交叉兼任高级管理人员的公司同时参与本项目，避免涉嫌围标、串标；（格式自拟） 5.2供应商非采购人及项目代理机构员工和亲属投资开办的公司，其法人、股东、高级管理人员非采购人单位员工及亲属。采购人、代理机构和投标人之间无相互兼职的情形。 5.3供应商未在投标前3年内的招投标和政府采购活动中无以行贿手段谋取中标（成交）的行为，并承诺在本次政府采购活动中，不以向采购人、代理机构、评审人员提供利益和好处谋取中标（成交）。（格式自拟） 5.4供应商具有履行本合同所必需的设备和专业技术能力的说明及承诺。 5.5供应商未被列入市卫健系统或西安市第三医院“黑名单”。（格式自拟）</w:t>
      </w:r>
    </w:p>
    <w:p>
      <w:pPr>
        <w:pStyle w:val="null3"/>
      </w:pPr>
      <w:r>
        <w:rPr>
          <w:rFonts w:ascii="仿宋_GB2312" w:hAnsi="仿宋_GB2312" w:cs="仿宋_GB2312" w:eastAsia="仿宋_GB2312"/>
        </w:rPr>
        <w:t>6、信用信息：6.供应商的信用信息：6.1 查询渠道：“信用中国 ”网站（www.creditchina.gov.vn）、中国政府采购网（www.ccgp.gov.vn）；以现场查询为准。 6.2 截止时点：投标截止时间；6.3 信用信息查询记录和证据留存的具体方式：网上查询结果打印。 6.4 信用信息的使 用规则：凡在截止时点内，列入失信被执行人、重大税收违法案件当 事人名单、政府采购严重违法失信行为记录名单的供应商，其投标视 为无效投标；联合体投标时，联合体成员存在不良信用记录的，视同联合体存在不良信用记录，其投标视为无效投标。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西安市第三医院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陕西省西安市未央区凤城三路东路十号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西安市第三医院经办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13891966838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东方（西安）国际招标有限公司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西安市太白南路181号西部电子社区A座A区208-1室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孙翊轩、陈一凡、张强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029-89585662-807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代理服务费收费标准：招标代理服务费的金额按照国家发展计划委员会计价格[2002]1980 号文件的规定标准下浮20%计算。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西安市第三医院</w:t>
      </w:r>
      <w:r>
        <w:rPr>
          <w:rFonts w:ascii="仿宋_GB2312" w:hAnsi="仿宋_GB2312" w:cs="仿宋_GB2312" w:eastAsia="仿宋_GB2312"/>
        </w:rPr>
        <w:t>和</w:t>
      </w:r>
      <w:r>
        <w:rPr>
          <w:rFonts w:ascii="仿宋_GB2312" w:hAnsi="仿宋_GB2312" w:cs="仿宋_GB2312" w:eastAsia="仿宋_GB2312"/>
        </w:rPr>
        <w:t>东方（西安）国际招标有限公司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西安市第三医院</w:t>
      </w:r>
      <w:r>
        <w:rPr>
          <w:rFonts w:ascii="仿宋_GB2312" w:hAnsi="仿宋_GB2312" w:cs="仿宋_GB2312" w:eastAsia="仿宋_GB2312"/>
        </w:rPr>
        <w:t>负责解释。除上述磋商文件内容，其他内容由</w:t>
      </w:r>
      <w:r>
        <w:rPr>
          <w:rFonts w:ascii="仿宋_GB2312" w:hAnsi="仿宋_GB2312" w:cs="仿宋_GB2312" w:eastAsia="仿宋_GB2312"/>
        </w:rPr>
        <w:t>东方（西安）国际招标有限公司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西安市第三医院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东方（西安）国际招标有限公司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国家及行业相关标准。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联系人：孙翊轩、陈一凡、张强</w:t>
      </w:r>
    </w:p>
    <w:p>
      <w:pPr>
        <w:pStyle w:val="null3"/>
      </w:pPr>
      <w:r>
        <w:rPr>
          <w:rFonts w:ascii="仿宋_GB2312" w:hAnsi="仿宋_GB2312" w:cs="仿宋_GB2312" w:eastAsia="仿宋_GB2312"/>
        </w:rPr>
        <w:t>联系电话：029-89585662-807</w:t>
      </w:r>
    </w:p>
    <w:p>
      <w:pPr>
        <w:pStyle w:val="null3"/>
      </w:pPr>
      <w:r>
        <w:rPr>
          <w:rFonts w:ascii="仿宋_GB2312" w:hAnsi="仿宋_GB2312" w:cs="仿宋_GB2312" w:eastAsia="仿宋_GB2312"/>
        </w:rPr>
        <w:t>地址：西安市太白南路181号西部电子社区A座A区208-1室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随着医院业务的迅猛发展，医院信息化建设的逐步完善，医院各科室使用的信息化系统正在不断增多， 网络核心设备的稳定运行是医院所有信息系统正常运作的基础。为了医院各个业务系统的稳定运行，更好的 发挥信息化效益，本次项目采购一年的网络核心设备维保服务，确保系统正常运行。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480,000.00</w:t>
      </w:r>
    </w:p>
    <w:p>
      <w:pPr>
        <w:pStyle w:val="null3"/>
      </w:pPr>
      <w:r>
        <w:rPr>
          <w:rFonts w:ascii="仿宋_GB2312" w:hAnsi="仿宋_GB2312" w:cs="仿宋_GB2312" w:eastAsia="仿宋_GB2312"/>
        </w:rPr>
        <w:t>采购包最高限价（元）: 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网络核心设备维保</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标的名称：网络核心设备维保</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提供现场巡检维保服务及 365*24 小时故障响应服务</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pPr>
            <w:r>
              <w:rPr>
                <w:rFonts w:ascii="仿宋_GB2312" w:hAnsi="仿宋_GB2312" w:cs="仿宋_GB2312" w:eastAsia="仿宋_GB2312"/>
              </w:rPr>
              <w:t>提供工程师现场驻场服务。提供一名网络工程师每周现场驻场进行巡检、软硬件 故障排查、网络分析、网络调优、网络系统架构升级建议以及配合信息中心日常工作等服务。如因甲方系统割接、重大项目需要，现场驻场服务人员，时间可根 据甲方提出增加人员时长。现场巡检服务工程师具有中级以上网络工程师认证，熟悉虚拟化应用环境，可针对网络及虚拟化相关故障提供专业故障点排查、故障 解决方案。且参与过三甲医院网络或信息系统维护项目，5 年以上工作经验。</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pPr>
            <w:r>
              <w:rPr>
                <w:rFonts w:ascii="仿宋_GB2312" w:hAnsi="仿宋_GB2312" w:cs="仿宋_GB2312" w:eastAsia="仿宋_GB2312"/>
              </w:rPr>
              <w:t>运维公司应当在经营范围内投入相应的责任险。因工作失误造成自身、院方或第 三方的财产损失或人员伤亡的，由运维公司承担全部经济责任及法律责任。</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tc>
        <w:tc>
          <w:tcPr>
            <w:tcW w:type="dxa" w:w="2076"/>
          </w:tcPr>
          <w:p>
            <w:pPr>
              <w:pStyle w:val="null3"/>
            </w:pPr>
            <w:r>
              <w:rPr>
                <w:rFonts w:ascii="仿宋_GB2312" w:hAnsi="仿宋_GB2312" w:cs="仿宋_GB2312" w:eastAsia="仿宋_GB2312"/>
              </w:rPr>
              <w:t>在服务期内若运维公司的工作人员发生盗窃、斗殴，人员伤亡等意外情形，均应由运维公司承担负责，与采购人无关。</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tc>
        <w:tc>
          <w:tcPr>
            <w:tcW w:type="dxa" w:w="2076"/>
          </w:tcPr>
          <w:p>
            <w:pPr>
              <w:pStyle w:val="null3"/>
            </w:pPr>
            <w:r>
              <w:rPr>
                <w:rFonts w:ascii="仿宋_GB2312" w:hAnsi="仿宋_GB2312" w:cs="仿宋_GB2312" w:eastAsia="仿宋_GB2312"/>
              </w:rPr>
              <w:t>运维公司工作人员应定期按要求信息中心上交工作记录、台账、统计数据、报表等。合同终止时，运维公司应向信息中心移交服务过程中的全部档案资料，包括但不限于：工作记录、台账、统计数据、报表，且不得留档。此项工作纳入满意度考核中。</w:t>
            </w:r>
          </w:p>
        </w:tc>
      </w:tr>
      <w:tr>
        <w:tc>
          <w:tcPr>
            <w:tcW w:type="dxa" w:w="2076"/>
          </w:tcPr>
          <w:p/>
        </w:tc>
        <w:tc>
          <w:tcPr>
            <w:tcW w:type="dxa" w:w="2076"/>
          </w:tcPr>
          <w:p>
            <w:pPr>
              <w:pStyle w:val="null3"/>
            </w:pPr>
            <w:r>
              <w:rPr>
                <w:rFonts w:ascii="仿宋_GB2312" w:hAnsi="仿宋_GB2312" w:cs="仿宋_GB2312" w:eastAsia="仿宋_GB2312"/>
              </w:rPr>
              <w:t>6</w:t>
            </w:r>
          </w:p>
        </w:tc>
        <w:tc>
          <w:tcPr>
            <w:tcW w:type="dxa" w:w="2076"/>
          </w:tcPr>
          <w:p/>
        </w:tc>
        <w:tc>
          <w:tcPr>
            <w:tcW w:type="dxa" w:w="2076"/>
          </w:tcPr>
          <w:p>
            <w:pPr>
              <w:pStyle w:val="null3"/>
            </w:pPr>
            <w:r>
              <w:rPr>
                <w:rFonts w:ascii="仿宋_GB2312" w:hAnsi="仿宋_GB2312" w:cs="仿宋_GB2312" w:eastAsia="仿宋_GB2312"/>
              </w:rPr>
              <w:t>驻场运维人员需严格按照院方工作签到表进行签到，院方会依据驻场运维人员的签到情况,对驻场运维人员进行考核。</w:t>
            </w:r>
          </w:p>
        </w:tc>
      </w:tr>
      <w:tr>
        <w:tc>
          <w:tcPr>
            <w:tcW w:type="dxa" w:w="2076"/>
          </w:tcPr>
          <w:p/>
        </w:tc>
        <w:tc>
          <w:tcPr>
            <w:tcW w:type="dxa" w:w="2076"/>
          </w:tcPr>
          <w:p>
            <w:pPr>
              <w:pStyle w:val="null3"/>
            </w:pPr>
            <w:r>
              <w:rPr>
                <w:rFonts w:ascii="仿宋_GB2312" w:hAnsi="仿宋_GB2312" w:cs="仿宋_GB2312" w:eastAsia="仿宋_GB2312"/>
              </w:rPr>
              <w:t>7</w:t>
            </w:r>
          </w:p>
        </w:tc>
        <w:tc>
          <w:tcPr>
            <w:tcW w:type="dxa" w:w="2076"/>
          </w:tcPr>
          <w:p/>
        </w:tc>
        <w:tc>
          <w:tcPr>
            <w:tcW w:type="dxa" w:w="2076"/>
          </w:tcPr>
          <w:p>
            <w:pPr>
              <w:pStyle w:val="null3"/>
            </w:pPr>
            <w:r>
              <w:rPr>
                <w:rFonts w:ascii="仿宋_GB2312" w:hAnsi="仿宋_GB2312" w:cs="仿宋_GB2312" w:eastAsia="仿宋_GB2312"/>
              </w:rPr>
              <w:t>二线专家升级服务：1.投标人应建立二线专家团队。现场巡检服务工程师无法立即处理的故障，提供升级服务，一般故障二线工程师2小时到场处理，紧急故障1小时内到场。2.二线专家团队应至少包含1名高级网络工程师，1名中级以上安全工程师，1名网络存储工程师，1高级架构师RHCA，可对医院核心网络与业务系统关联的故障状态进行分析，快速定位网络故障点，提出故障解决方案。</w:t>
            </w:r>
          </w:p>
        </w:tc>
      </w:tr>
      <w:tr>
        <w:tc>
          <w:tcPr>
            <w:tcW w:type="dxa" w:w="2076"/>
          </w:tcPr>
          <w:p/>
        </w:tc>
        <w:tc>
          <w:tcPr>
            <w:tcW w:type="dxa" w:w="2076"/>
          </w:tcPr>
          <w:p>
            <w:pPr>
              <w:pStyle w:val="null3"/>
            </w:pPr>
            <w:r>
              <w:rPr>
                <w:rFonts w:ascii="仿宋_GB2312" w:hAnsi="仿宋_GB2312" w:cs="仿宋_GB2312" w:eastAsia="仿宋_GB2312"/>
              </w:rPr>
              <w:t>8</w:t>
            </w:r>
          </w:p>
        </w:tc>
        <w:tc>
          <w:tcPr>
            <w:tcW w:type="dxa" w:w="2076"/>
          </w:tcPr>
          <w:p/>
        </w:tc>
        <w:tc>
          <w:tcPr>
            <w:tcW w:type="dxa" w:w="2076"/>
          </w:tcPr>
          <w:p>
            <w:pPr>
              <w:pStyle w:val="null3"/>
            </w:pPr>
            <w:r>
              <w:rPr>
                <w:rFonts w:ascii="仿宋_GB2312" w:hAnsi="仿宋_GB2312" w:cs="仿宋_GB2312" w:eastAsia="仿宋_GB2312"/>
              </w:rPr>
              <w:t>提供365*24小时故障响应服务：1.提供全年365天、24小时的故障响应服务。投标方应提供规范便捷的故障报修方式、完善的故障响应机制、专业的故障处理流程、故障处理报告及故障分析等。2.根据本项目实际情况制定突发事件应急预案，应急预案应包含核心网络设备可能发生的一般故障处理、突发事件处理等。应急预案应包含响应方式、到场时间、详细人员分工，职责明确。</w:t>
            </w:r>
          </w:p>
        </w:tc>
      </w:tr>
      <w:tr>
        <w:tc>
          <w:tcPr>
            <w:tcW w:type="dxa" w:w="2076"/>
          </w:tcPr>
          <w:p/>
        </w:tc>
        <w:tc>
          <w:tcPr>
            <w:tcW w:type="dxa" w:w="2076"/>
          </w:tcPr>
          <w:p>
            <w:pPr>
              <w:pStyle w:val="null3"/>
            </w:pPr>
            <w:r>
              <w:rPr>
                <w:rFonts w:ascii="仿宋_GB2312" w:hAnsi="仿宋_GB2312" w:cs="仿宋_GB2312" w:eastAsia="仿宋_GB2312"/>
              </w:rPr>
              <w:t>9</w:t>
            </w:r>
          </w:p>
        </w:tc>
        <w:tc>
          <w:tcPr>
            <w:tcW w:type="dxa" w:w="2076"/>
          </w:tcPr>
          <w:p/>
        </w:tc>
        <w:tc>
          <w:tcPr>
            <w:tcW w:type="dxa" w:w="2076"/>
          </w:tcPr>
          <w:p>
            <w:pPr>
              <w:pStyle w:val="null3"/>
            </w:pPr>
            <w:r>
              <w:rPr>
                <w:rFonts w:ascii="仿宋_GB2312" w:hAnsi="仿宋_GB2312" w:cs="仿宋_GB2312" w:eastAsia="仿宋_GB2312"/>
              </w:rPr>
              <w:t>提供备件服务：在项目所在地设有本地备件库，能够根据本项目需求提供备机、备件的证明文件和常用备件清单，有完善的备件管理程序及备件调用机制。发生突发紧急故障时备件能够第一时间送达故障现场，能够提供备件库在本市的房屋产权证明或房屋租赁合同。</w:t>
            </w:r>
          </w:p>
        </w:tc>
      </w:tr>
      <w:tr>
        <w:tc>
          <w:tcPr>
            <w:tcW w:type="dxa" w:w="2076"/>
          </w:tcPr>
          <w:p/>
        </w:tc>
        <w:tc>
          <w:tcPr>
            <w:tcW w:type="dxa" w:w="2076"/>
          </w:tcPr>
          <w:p>
            <w:pPr>
              <w:pStyle w:val="null3"/>
            </w:pPr>
            <w:r>
              <w:rPr>
                <w:rFonts w:ascii="仿宋_GB2312" w:hAnsi="仿宋_GB2312" w:cs="仿宋_GB2312" w:eastAsia="仿宋_GB2312"/>
              </w:rPr>
              <w:t>10</w:t>
            </w:r>
          </w:p>
        </w:tc>
        <w:tc>
          <w:tcPr>
            <w:tcW w:type="dxa" w:w="2076"/>
          </w:tcPr>
          <w:p/>
        </w:tc>
        <w:tc>
          <w:tcPr>
            <w:tcW w:type="dxa" w:w="2076"/>
          </w:tcPr>
          <w:p>
            <w:pPr>
              <w:pStyle w:val="null3"/>
            </w:pPr>
            <w:r>
              <w:rPr>
                <w:rFonts w:ascii="仿宋_GB2312" w:hAnsi="仿宋_GB2312" w:cs="仿宋_GB2312" w:eastAsia="仿宋_GB2312"/>
              </w:rPr>
              <w:t>提供培训服务：提供正规化的、具有专业水准的技术培训服务。</w:t>
            </w:r>
          </w:p>
        </w:tc>
      </w:tr>
      <w:tr>
        <w:tc>
          <w:tcPr>
            <w:tcW w:type="dxa" w:w="2076"/>
          </w:tcPr>
          <w:p/>
        </w:tc>
        <w:tc>
          <w:tcPr>
            <w:tcW w:type="dxa" w:w="2076"/>
          </w:tcPr>
          <w:p>
            <w:pPr>
              <w:pStyle w:val="null3"/>
            </w:pPr>
            <w:r>
              <w:rPr>
                <w:rFonts w:ascii="仿宋_GB2312" w:hAnsi="仿宋_GB2312" w:cs="仿宋_GB2312" w:eastAsia="仿宋_GB2312"/>
              </w:rPr>
              <w:t>11</w:t>
            </w:r>
          </w:p>
        </w:tc>
        <w:tc>
          <w:tcPr>
            <w:tcW w:type="dxa" w:w="2076"/>
          </w:tcPr>
          <w:p/>
        </w:tc>
        <w:tc>
          <w:tcPr>
            <w:tcW w:type="dxa" w:w="2076"/>
          </w:tcPr>
          <w:p>
            <w:pPr>
              <w:pStyle w:val="null3"/>
            </w:pPr>
            <w:r>
              <w:rPr>
                <w:rFonts w:ascii="仿宋_GB2312" w:hAnsi="仿宋_GB2312" w:cs="仿宋_GB2312" w:eastAsia="仿宋_GB2312"/>
              </w:rPr>
              <w:t>对现有接入层无线网络进行架构升级优化：由于无线接入交换设备不稳定，导致无线接入网络整体速率限制较多且稳定性不足，因此需对现无线接入层网络设备进行架构升级优化。无线接入层网络设备升级优化后的网络架构需满足未来业务发展。技术指标： 1.标准机架式设备，硬盘容量≥1T，固化千兆电口≥8个，固化万兆光口≥1个。 2.全兼容医院现有AC控制器设备配置信息，并完成复制同步以实现AC备份要求。 3.设备自带AP可管理数≥128个，本地转发最大可管理AP数≥1000个。 4.支持配置AP的本地数据转发技术模式。 5.支持实时频谱防护，可视化射频干扰源对无线局域网的性能的影响。 6.保障网络中的哑终端在迁移时无需配置，无线控制器能够对哑终端提供策略随行。 7.为便于网络资产管理快速定位哑终端的网络位置，无线控制器能够对哑终端进行位置识别。 8.支持对用户的管理,可对用户信息进行编辑；支持终端MAC黑白名单，过滤非法终端。 9.支持审计设备IP、用户IP、用户名、发件人、收件人、邮件主题、邮件大小、访问时间、附件。 10.支持DPI、DFI应用识别。 11.支持流量审计、流量控制。 12.支持对非法无线接入点进行探测，并对非法AP进行屏蔽。 13.保障网络中的哑终端安全接入,支持对终端识别并对其按不同级别、不同权限审批接入。</w:t>
            </w:r>
          </w:p>
        </w:tc>
      </w:tr>
      <w:tr>
        <w:tc>
          <w:tcPr>
            <w:tcW w:type="dxa" w:w="2076"/>
          </w:tcPr>
          <w:p/>
        </w:tc>
        <w:tc>
          <w:tcPr>
            <w:tcW w:type="dxa" w:w="2076"/>
          </w:tcPr>
          <w:p>
            <w:pPr>
              <w:pStyle w:val="null3"/>
            </w:pPr>
            <w:r>
              <w:rPr>
                <w:rFonts w:ascii="仿宋_GB2312" w:hAnsi="仿宋_GB2312" w:cs="仿宋_GB2312" w:eastAsia="仿宋_GB2312"/>
              </w:rPr>
              <w:t>12</w:t>
            </w:r>
          </w:p>
        </w:tc>
        <w:tc>
          <w:tcPr>
            <w:tcW w:type="dxa" w:w="2076"/>
          </w:tcPr>
          <w:p/>
        </w:tc>
        <w:tc>
          <w:tcPr>
            <w:tcW w:type="dxa" w:w="2076"/>
          </w:tcPr>
          <w:p>
            <w:pPr>
              <w:pStyle w:val="null3"/>
            </w:pPr>
            <w:r>
              <w:rPr>
                <w:rFonts w:ascii="仿宋_GB2312" w:hAnsi="仿宋_GB2312" w:cs="仿宋_GB2312" w:eastAsia="仿宋_GB2312"/>
              </w:rPr>
              <w:t>对全院网络机柜线缆进行整理改造：1.西安市第三医院网络设备机柜存在线缆交错、纠缠、交叉覆盖等情况。为了维护网络设备的正常稳定运行，对于网络线缆乱的情况，需要对机房和弱电井里所有网络机柜进行全面整理布局和标识。2.投标方应提供详细的线缆整理改造方案，包括但不限于分析现有线缆布局、制定整理方案、具体实施、测试和调整。完成线缆整理后，应确保网络连接和通信正常，机房环境整洁美观，线缆布局合理规范，标识清晰，并对所有设备及线缆建立动态化管理档案。</w:t>
            </w:r>
          </w:p>
        </w:tc>
      </w:tr>
      <w:tr>
        <w:tc>
          <w:tcPr>
            <w:tcW w:type="dxa" w:w="2076"/>
          </w:tcPr>
          <w:p/>
        </w:tc>
        <w:tc>
          <w:tcPr>
            <w:tcW w:type="dxa" w:w="2076"/>
          </w:tcPr>
          <w:p>
            <w:pPr>
              <w:pStyle w:val="null3"/>
            </w:pPr>
            <w:r>
              <w:rPr>
                <w:rFonts w:ascii="仿宋_GB2312" w:hAnsi="仿宋_GB2312" w:cs="仿宋_GB2312" w:eastAsia="仿宋_GB2312"/>
              </w:rPr>
              <w:t>13</w:t>
            </w:r>
          </w:p>
        </w:tc>
        <w:tc>
          <w:tcPr>
            <w:tcW w:type="dxa" w:w="2076"/>
          </w:tcPr>
          <w:p/>
        </w:tc>
        <w:tc>
          <w:tcPr>
            <w:tcW w:type="dxa" w:w="2076"/>
          </w:tcPr>
          <w:p>
            <w:pPr>
              <w:pStyle w:val="null3"/>
            </w:pPr>
            <w:r>
              <w:rPr>
                <w:rFonts w:ascii="仿宋_GB2312" w:hAnsi="仿宋_GB2312" w:cs="仿宋_GB2312" w:eastAsia="仿宋_GB2312"/>
              </w:rPr>
              <w:t>提供7*24运维服务。具体根据信息中心安排：包含维保清单内所有设备运行日常的物理状态维护、电源稳定性和线路维护、系统性能定期巡检、固件微码及补丁安全隐患排查、系统硬件诊断、及时更换损坏的或有潜在故障的部件，协助医院网络架构优化调整，提供实质性建议及具体实操等。维保清单内的一期网络设备均已过保，如出现设备故障且无法维修的，或者由于设备老旧导致网络性能低下不满足日常使用需要的情况，由中标人负责更换同品牌同型号或性能优于同型号的设备（费用包含在本次维保服务中，不额外支付费用），维保期间中标人需无条件做好与原维保厂家衔接。</w:t>
            </w:r>
          </w:p>
        </w:tc>
      </w:tr>
      <w:tr>
        <w:tc>
          <w:tcPr>
            <w:tcW w:type="dxa" w:w="2076"/>
          </w:tcPr>
          <w:p/>
        </w:tc>
        <w:tc>
          <w:tcPr>
            <w:tcW w:type="dxa" w:w="2076"/>
          </w:tcPr>
          <w:p>
            <w:pPr>
              <w:pStyle w:val="null3"/>
            </w:pPr>
            <w:r>
              <w:rPr>
                <w:rFonts w:ascii="仿宋_GB2312" w:hAnsi="仿宋_GB2312" w:cs="仿宋_GB2312" w:eastAsia="仿宋_GB2312"/>
              </w:rPr>
              <w:t>14</w:t>
            </w:r>
          </w:p>
        </w:tc>
        <w:tc>
          <w:tcPr>
            <w:tcW w:type="dxa" w:w="2076"/>
          </w:tcPr>
          <w:p/>
        </w:tc>
        <w:tc>
          <w:tcPr>
            <w:tcW w:type="dxa" w:w="2076"/>
          </w:tcPr>
          <w:p>
            <w:pPr>
              <w:pStyle w:val="null3"/>
            </w:pPr>
            <w:r>
              <w:rPr>
                <w:rFonts w:ascii="仿宋_GB2312" w:hAnsi="仿宋_GB2312" w:cs="仿宋_GB2312" w:eastAsia="仿宋_GB2312"/>
              </w:rPr>
              <w:t>提供365*24小时故障响应服务：投标方应组建专门服务于本项目的服务团队，提供本项目服务团队人员名单及分工。服务团队成员应具有完成本项目服务的专业技术知识，配备充足的资源、设备、工具、技术资料，完成项目服务工作并提交完善的服务文档。项目经理应具有高级信息系统项目管理师认证。</w:t>
            </w:r>
          </w:p>
        </w:tc>
      </w:tr>
      <w:tr>
        <w:tc>
          <w:tcPr>
            <w:tcW w:type="dxa" w:w="2076"/>
          </w:tcPr>
          <w:p/>
        </w:tc>
        <w:tc>
          <w:tcPr>
            <w:tcW w:type="dxa" w:w="2076"/>
          </w:tcPr>
          <w:p>
            <w:pPr>
              <w:pStyle w:val="null3"/>
            </w:pPr>
            <w:r>
              <w:rPr>
                <w:rFonts w:ascii="仿宋_GB2312" w:hAnsi="仿宋_GB2312" w:cs="仿宋_GB2312" w:eastAsia="仿宋_GB2312"/>
              </w:rPr>
              <w:t>15</w:t>
            </w:r>
          </w:p>
        </w:tc>
        <w:tc>
          <w:tcPr>
            <w:tcW w:type="dxa" w:w="2076"/>
          </w:tcPr>
          <w:p>
            <w:pPr>
              <w:pStyle w:val="null3"/>
            </w:pPr>
            <w:r>
              <w:rPr>
                <w:rFonts w:ascii="仿宋_GB2312" w:hAnsi="仿宋_GB2312" w:cs="仿宋_GB2312" w:eastAsia="仿宋_GB2312"/>
              </w:rPr>
              <w:t>本次维保的设备清单如下：</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42"/>
              <w:gridCol w:w="270"/>
              <w:gridCol w:w="489"/>
              <w:gridCol w:w="320"/>
              <w:gridCol w:w="176"/>
              <w:gridCol w:w="223"/>
              <w:gridCol w:w="239"/>
            </w:tblGrid>
            <w:tr>
              <w:tc>
                <w:tcPr>
                  <w:tcW w:type="dxa" w:w="1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业务区域</w:t>
                  </w:r>
                </w:p>
              </w:tc>
              <w:tc>
                <w:tcPr>
                  <w:tcW w:type="dxa" w:w="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设备型号</w:t>
                  </w:r>
                </w:p>
              </w:tc>
              <w:tc>
                <w:tcPr>
                  <w:tcW w:type="dxa" w:w="3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设备情况</w:t>
                  </w:r>
                </w:p>
              </w:tc>
              <w:tc>
                <w:tcPr>
                  <w:tcW w:type="dxa" w:w="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配置数量</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网络逻辑说明</w:t>
                  </w:r>
                </w:p>
              </w:tc>
            </w:tr>
            <w:tr>
              <w:tc>
                <w:tcPr>
                  <w:tcW w:type="dxa" w:w="1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核心机房</w:t>
                  </w:r>
                </w:p>
              </w:tc>
              <w:tc>
                <w:tcPr>
                  <w:tcW w:type="dxa" w:w="4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华为</w:t>
                  </w:r>
                  <w:r>
                    <w:rPr>
                      <w:rFonts w:ascii="仿宋_GB2312" w:hAnsi="仿宋_GB2312" w:cs="仿宋_GB2312" w:eastAsia="仿宋_GB2312"/>
                      <w:sz w:val="24"/>
                      <w:color w:val="000000"/>
                    </w:rPr>
                    <w:t>CloudEngine S12700E-8</w:t>
                  </w:r>
                </w:p>
              </w:tc>
              <w:tc>
                <w:tcPr>
                  <w:tcW w:type="dxa" w:w="3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内网核心</w:t>
                  </w:r>
                </w:p>
              </w:tc>
              <w:tc>
                <w:tcPr>
                  <w:tcW w:type="dxa" w:w="1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核心采用主备部署汇聚院内内网核心业务</w:t>
                  </w:r>
                </w:p>
              </w:tc>
            </w:tr>
            <w:tr>
              <w:tc>
                <w:tcPr>
                  <w:tcW w:type="dxa" w:w="142"/>
                  <w:vMerge/>
                  <w:tcBorders>
                    <w:top w:val="none" w:color="000000" w:sz="4"/>
                    <w:left w:val="single" w:color="000000" w:sz="4"/>
                    <w:bottom w:val="single" w:color="000000" w:sz="4"/>
                    <w:right w:val="single" w:color="000000" w:sz="4"/>
                  </w:tcBorders>
                </w:tcP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核心交换层</w:t>
                  </w:r>
                </w:p>
              </w:tc>
              <w:tc>
                <w:tcPr>
                  <w:tcW w:type="dxa" w:w="489"/>
                  <w:vMerge/>
                  <w:tcBorders>
                    <w:top w:val="none" w:color="000000" w:sz="4"/>
                    <w:left w:val="none" w:color="000000" w:sz="4"/>
                    <w:bottom w:val="single" w:color="000000" w:sz="4"/>
                    <w:right w:val="single" w:color="000000" w:sz="4"/>
                  </w:tcBorders>
                </w:tcPr>
                <w:p/>
              </w:tc>
              <w:tc>
                <w:tcPr>
                  <w:tcW w:type="dxa" w:w="320"/>
                  <w:vMerge/>
                  <w:tcBorders>
                    <w:top w:val="none" w:color="000000" w:sz="4"/>
                    <w:left w:val="none" w:color="000000" w:sz="4"/>
                    <w:bottom w:val="single" w:color="000000" w:sz="4"/>
                    <w:right w:val="single" w:color="000000" w:sz="4"/>
                  </w:tcBorders>
                </w:tcPr>
                <w:p/>
              </w:tc>
              <w:tc>
                <w:tcPr>
                  <w:tcW w:type="dxa" w:w="176"/>
                  <w:vMerge/>
                  <w:tcBorders>
                    <w:top w:val="none" w:color="000000" w:sz="4"/>
                    <w:left w:val="none" w:color="000000" w:sz="4"/>
                    <w:bottom w:val="single" w:color="000000" w:sz="4"/>
                    <w:right w:val="single" w:color="000000" w:sz="4"/>
                  </w:tcBorders>
                </w:tcPr>
                <w:p/>
              </w:tc>
              <w:tc>
                <w:tcPr>
                  <w:tcW w:type="dxa" w:w="223"/>
                  <w:vMerge/>
                  <w:tcBorders>
                    <w:top w:val="none" w:color="000000" w:sz="4"/>
                    <w:left w:val="none" w:color="000000" w:sz="4"/>
                    <w:bottom w:val="single" w:color="000000" w:sz="4"/>
                    <w:right w:val="single" w:color="000000" w:sz="4"/>
                  </w:tcBorders>
                </w:tcPr>
                <w:p/>
              </w:tc>
              <w:tc>
                <w:tcPr>
                  <w:tcW w:type="dxa" w:w="239"/>
                  <w:vMerge/>
                  <w:tcBorders>
                    <w:top w:val="none" w:color="000000" w:sz="4"/>
                    <w:left w:val="none" w:color="000000" w:sz="4"/>
                    <w:bottom w:val="single" w:color="000000" w:sz="4"/>
                    <w:right w:val="single" w:color="000000" w:sz="4"/>
                  </w:tcBorders>
                </w:tcPr>
                <w:p/>
              </w:tc>
            </w:tr>
            <w:tr>
              <w:tc>
                <w:tcPr>
                  <w:tcW w:type="dxa" w:w="1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核心机房接入汇聚层</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华为</w:t>
                  </w:r>
                  <w:r>
                    <w:rPr>
                      <w:rFonts w:ascii="仿宋_GB2312" w:hAnsi="仿宋_GB2312" w:cs="仿宋_GB2312" w:eastAsia="仿宋_GB2312"/>
                      <w:sz w:val="24"/>
                      <w:color w:val="000000"/>
                    </w:rPr>
                    <w:t>CE6881-48S6CQ</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光口汇聚</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双链路至核心交换机，汇聚院内各个服务业务系统</w:t>
                  </w:r>
                </w:p>
              </w:tc>
            </w:tr>
            <w:tr>
              <w:tc>
                <w:tcPr>
                  <w:tcW w:type="dxa" w:w="142"/>
                  <w:vMerge/>
                  <w:tcBorders>
                    <w:top w:val="none" w:color="000000" w:sz="4"/>
                    <w:left w:val="single" w:color="000000" w:sz="4"/>
                    <w:bottom w:val="single" w:color="000000" w:sz="4"/>
                    <w:right w:val="single" w:color="000000" w:sz="4"/>
                  </w:tcBorders>
                </w:tcPr>
                <w:p/>
              </w:tc>
              <w:tc>
                <w:tcPr>
                  <w:tcW w:type="dxa" w:w="270"/>
                  <w:vMerge/>
                  <w:tcBorders>
                    <w:top w:val="none" w:color="000000" w:sz="4"/>
                    <w:left w:val="none" w:color="000000" w:sz="4"/>
                    <w:bottom w:val="single" w:color="000000" w:sz="4"/>
                    <w:right w:val="single" w:color="000000" w:sz="4"/>
                  </w:tcBorders>
                </w:tc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华为</w:t>
                  </w:r>
                  <w:r>
                    <w:rPr>
                      <w:rFonts w:ascii="仿宋_GB2312" w:hAnsi="仿宋_GB2312" w:cs="仿宋_GB2312" w:eastAsia="仿宋_GB2312"/>
                      <w:sz w:val="24"/>
                      <w:color w:val="000000"/>
                    </w:rPr>
                    <w:t>S5732-H24UM2CC</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电口汇聚</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23"/>
                  <w:vMerge/>
                  <w:tcBorders>
                    <w:top w:val="none" w:color="000000" w:sz="4"/>
                    <w:left w:val="none" w:color="000000" w:sz="4"/>
                    <w:bottom w:val="single" w:color="000000" w:sz="4"/>
                    <w:right w:val="single" w:color="000000" w:sz="4"/>
                  </w:tcBorders>
                </w:tcPr>
                <w:p/>
              </w:tc>
              <w:tc>
                <w:tcPr>
                  <w:tcW w:type="dxa" w:w="239"/>
                  <w:vMerge/>
                  <w:tcBorders>
                    <w:top w:val="none" w:color="000000" w:sz="4"/>
                    <w:left w:val="none" w:color="000000" w:sz="4"/>
                    <w:bottom w:val="single" w:color="000000" w:sz="4"/>
                    <w:right w:val="single" w:color="000000" w:sz="4"/>
                  </w:tcBorders>
                </w:tcPr>
                <w:p/>
              </w:tc>
            </w:tr>
            <w:tr>
              <w:tc>
                <w:tcPr>
                  <w:tcW w:type="dxa" w:w="142"/>
                  <w:vMerge/>
                  <w:tcBorders>
                    <w:top w:val="none" w:color="000000" w:sz="4"/>
                    <w:left w:val="single" w:color="000000" w:sz="4"/>
                    <w:bottom w:val="single" w:color="000000" w:sz="4"/>
                    <w:right w:val="single" w:color="000000" w:sz="4"/>
                  </w:tcBorders>
                </w:tcPr>
                <w:p/>
              </w:tc>
              <w:tc>
                <w:tcPr>
                  <w:tcW w:type="dxa" w:w="270"/>
                  <w:vMerge/>
                  <w:tcBorders>
                    <w:top w:val="none" w:color="000000" w:sz="4"/>
                    <w:left w:val="none" w:color="000000" w:sz="4"/>
                    <w:bottom w:val="single" w:color="000000" w:sz="4"/>
                    <w:right w:val="single" w:color="000000" w:sz="4"/>
                  </w:tcBorders>
                </w:tc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华为</w:t>
                  </w:r>
                  <w:r>
                    <w:rPr>
                      <w:rFonts w:ascii="仿宋_GB2312" w:hAnsi="仿宋_GB2312" w:cs="仿宋_GB2312" w:eastAsia="仿宋_GB2312"/>
                      <w:sz w:val="24"/>
                      <w:color w:val="000000"/>
                    </w:rPr>
                    <w:t>S5720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管理汇聚</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23"/>
                  <w:vMerge/>
                  <w:tcBorders>
                    <w:top w:val="none" w:color="000000" w:sz="4"/>
                    <w:left w:val="none" w:color="000000" w:sz="4"/>
                    <w:bottom w:val="single" w:color="000000" w:sz="4"/>
                    <w:right w:val="single" w:color="000000" w:sz="4"/>
                  </w:tcBorders>
                </w:tcPr>
                <w:p/>
              </w:tc>
              <w:tc>
                <w:tcPr>
                  <w:tcW w:type="dxa" w:w="239"/>
                  <w:vMerge/>
                  <w:tcBorders>
                    <w:top w:val="none" w:color="000000" w:sz="4"/>
                    <w:left w:val="none" w:color="000000" w:sz="4"/>
                    <w:bottom w:val="single" w:color="000000" w:sz="4"/>
                    <w:right w:val="single" w:color="000000" w:sz="4"/>
                  </w:tcBorders>
                </w:tcPr>
                <w:p/>
              </w:tc>
            </w:tr>
            <w:tr>
              <w:tc>
                <w:tcPr>
                  <w:tcW w:type="dxa" w:w="142"/>
                  <w:vMerge/>
                  <w:tcBorders>
                    <w:top w:val="none" w:color="000000" w:sz="4"/>
                    <w:left w:val="single" w:color="000000" w:sz="4"/>
                    <w:bottom w:val="single" w:color="000000" w:sz="4"/>
                    <w:right w:val="single" w:color="000000" w:sz="4"/>
                  </w:tcBorders>
                </w:tcPr>
                <w:p/>
              </w:tc>
              <w:tc>
                <w:tcPr>
                  <w:tcW w:type="dxa" w:w="270"/>
                  <w:vMerge/>
                  <w:tcBorders>
                    <w:top w:val="none" w:color="000000" w:sz="4"/>
                    <w:left w:val="none" w:color="000000" w:sz="4"/>
                    <w:bottom w:val="single" w:color="000000" w:sz="4"/>
                    <w:right w:val="single" w:color="000000" w:sz="4"/>
                  </w:tcBorders>
                </w:tc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华为</w:t>
                  </w:r>
                  <w:r>
                    <w:rPr>
                      <w:rFonts w:ascii="仿宋_GB2312" w:hAnsi="仿宋_GB2312" w:cs="仿宋_GB2312" w:eastAsia="仿宋_GB2312"/>
                      <w:sz w:val="24"/>
                      <w:color w:val="000000"/>
                    </w:rPr>
                    <w:t>S6730S-S24X6Q-A</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外超融合汇聚</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23"/>
                  <w:vMerge/>
                  <w:tcBorders>
                    <w:top w:val="none" w:color="000000" w:sz="4"/>
                    <w:left w:val="none" w:color="000000" w:sz="4"/>
                    <w:bottom w:val="single" w:color="000000" w:sz="4"/>
                    <w:right w:val="single" w:color="000000" w:sz="4"/>
                  </w:tcBorders>
                </w:tcPr>
                <w:p/>
              </w:tc>
              <w:tc>
                <w:tcPr>
                  <w:tcW w:type="dxa" w:w="239"/>
                  <w:vMerge/>
                  <w:tcBorders>
                    <w:top w:val="none" w:color="000000" w:sz="4"/>
                    <w:left w:val="none" w:color="000000" w:sz="4"/>
                    <w:bottom w:val="single" w:color="000000" w:sz="4"/>
                    <w:right w:val="single" w:color="000000" w:sz="4"/>
                  </w:tcBorders>
                </w:tcPr>
                <w:p/>
              </w:tc>
            </w:tr>
            <w:tr>
              <w:tc>
                <w:tcPr>
                  <w:tcW w:type="dxa" w:w="142"/>
                  <w:vMerge/>
                  <w:tcBorders>
                    <w:top w:val="none" w:color="000000" w:sz="4"/>
                    <w:left w:val="single" w:color="000000" w:sz="4"/>
                    <w:bottom w:val="single" w:color="000000" w:sz="4"/>
                    <w:right w:val="single" w:color="000000" w:sz="4"/>
                  </w:tcBorders>
                </w:tcPr>
                <w:p/>
              </w:tc>
              <w:tc>
                <w:tcPr>
                  <w:tcW w:type="dxa" w:w="270"/>
                  <w:vMerge/>
                  <w:tcBorders>
                    <w:top w:val="none" w:color="000000" w:sz="4"/>
                    <w:left w:val="none" w:color="000000" w:sz="4"/>
                    <w:bottom w:val="single" w:color="000000" w:sz="4"/>
                    <w:right w:val="single" w:color="000000" w:sz="4"/>
                  </w:tcBorders>
                </w:tc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华为</w:t>
                  </w:r>
                  <w:r>
                    <w:rPr>
                      <w:rFonts w:ascii="仿宋_GB2312" w:hAnsi="仿宋_GB2312" w:cs="仿宋_GB2312" w:eastAsia="仿宋_GB2312"/>
                      <w:sz w:val="24"/>
                      <w:color w:val="000000"/>
                    </w:rPr>
                    <w:t>S6730-H24X6C</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内超融合汇聚</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23"/>
                  <w:vMerge/>
                  <w:tcBorders>
                    <w:top w:val="none" w:color="000000" w:sz="4"/>
                    <w:left w:val="none" w:color="000000" w:sz="4"/>
                    <w:bottom w:val="single" w:color="000000" w:sz="4"/>
                    <w:right w:val="single" w:color="000000" w:sz="4"/>
                  </w:tcBorders>
                </w:tcPr>
                <w:p/>
              </w:tc>
              <w:tc>
                <w:tcPr>
                  <w:tcW w:type="dxa" w:w="239"/>
                  <w:vMerge/>
                  <w:tcBorders>
                    <w:top w:val="none" w:color="000000" w:sz="4"/>
                    <w:left w:val="none" w:color="000000" w:sz="4"/>
                    <w:bottom w:val="single" w:color="000000" w:sz="4"/>
                    <w:right w:val="single" w:color="000000" w:sz="4"/>
                  </w:tcBorders>
                </w:tcPr>
                <w:p/>
              </w:tc>
            </w:tr>
            <w:tr>
              <w:tc>
                <w:tcPr>
                  <w:tcW w:type="dxa" w:w="142"/>
                  <w:vMerge/>
                  <w:tcBorders>
                    <w:top w:val="none" w:color="000000" w:sz="4"/>
                    <w:left w:val="single" w:color="000000" w:sz="4"/>
                    <w:bottom w:val="single" w:color="000000" w:sz="4"/>
                    <w:right w:val="single" w:color="000000" w:sz="4"/>
                  </w:tcBorders>
                </w:tcPr>
                <w:p/>
              </w:tc>
              <w:tc>
                <w:tcPr>
                  <w:tcW w:type="dxa" w:w="270"/>
                  <w:vMerge/>
                  <w:tcBorders>
                    <w:top w:val="none" w:color="000000" w:sz="4"/>
                    <w:left w:val="none" w:color="000000" w:sz="4"/>
                    <w:bottom w:val="single" w:color="000000" w:sz="4"/>
                    <w:right w:val="single" w:color="000000" w:sz="4"/>
                  </w:tcBorders>
                </w:tc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华为</w:t>
                  </w:r>
                  <w:r>
                    <w:rPr>
                      <w:rFonts w:ascii="仿宋_GB2312" w:hAnsi="仿宋_GB2312" w:cs="仿宋_GB2312" w:eastAsia="仿宋_GB2312"/>
                      <w:sz w:val="24"/>
                      <w:color w:val="000000"/>
                    </w:rPr>
                    <w:t>6820-48S6CQ</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NAS光口汇聚</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23"/>
                  <w:vMerge/>
                  <w:tcBorders>
                    <w:top w:val="none" w:color="000000" w:sz="4"/>
                    <w:left w:val="none" w:color="000000" w:sz="4"/>
                    <w:bottom w:val="single" w:color="000000" w:sz="4"/>
                    <w:right w:val="single" w:color="000000" w:sz="4"/>
                  </w:tcBorders>
                </w:tcPr>
                <w:p/>
              </w:tc>
              <w:tc>
                <w:tcPr>
                  <w:tcW w:type="dxa" w:w="239"/>
                  <w:vMerge/>
                  <w:tcBorders>
                    <w:top w:val="none" w:color="000000" w:sz="4"/>
                    <w:left w:val="none" w:color="000000" w:sz="4"/>
                    <w:bottom w:val="single" w:color="000000" w:sz="4"/>
                    <w:right w:val="single" w:color="000000" w:sz="4"/>
                  </w:tcBorders>
                </w:tcPr>
                <w:p/>
              </w:tc>
            </w:tr>
            <w:tr>
              <w:tc>
                <w:tcPr>
                  <w:tcW w:type="dxa" w:w="142"/>
                  <w:vMerge/>
                  <w:tcBorders>
                    <w:top w:val="none" w:color="000000" w:sz="4"/>
                    <w:left w:val="single" w:color="000000" w:sz="4"/>
                    <w:bottom w:val="single" w:color="000000" w:sz="4"/>
                    <w:right w:val="single" w:color="000000" w:sz="4"/>
                  </w:tcBorders>
                </w:tcPr>
                <w:p/>
              </w:tc>
              <w:tc>
                <w:tcPr>
                  <w:tcW w:type="dxa" w:w="270"/>
                  <w:vMerge/>
                  <w:tcBorders>
                    <w:top w:val="none" w:color="000000" w:sz="4"/>
                    <w:left w:val="none" w:color="000000" w:sz="4"/>
                    <w:bottom w:val="single" w:color="000000" w:sz="4"/>
                    <w:right w:val="single" w:color="000000" w:sz="4"/>
                  </w:tcBorders>
                </w:tc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华三</w:t>
                  </w:r>
                  <w:r>
                    <w:rPr>
                      <w:rFonts w:ascii="仿宋_GB2312" w:hAnsi="仿宋_GB2312" w:cs="仿宋_GB2312" w:eastAsia="仿宋_GB2312"/>
                      <w:sz w:val="24"/>
                      <w:color w:val="000000"/>
                    </w:rPr>
                    <w:t>S6520X-54XG-EI-G</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镜像交换机</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3"/>
                  <w:vMerge/>
                  <w:tcBorders>
                    <w:top w:val="none" w:color="000000" w:sz="4"/>
                    <w:left w:val="none" w:color="000000" w:sz="4"/>
                    <w:bottom w:val="single" w:color="000000" w:sz="4"/>
                    <w:right w:val="single" w:color="000000" w:sz="4"/>
                  </w:tcBorders>
                </w:tcPr>
                <w:p/>
              </w:tc>
              <w:tc>
                <w:tcPr>
                  <w:tcW w:type="dxa" w:w="239"/>
                  <w:vMerge/>
                  <w:tcBorders>
                    <w:top w:val="none" w:color="000000" w:sz="4"/>
                    <w:left w:val="none" w:color="000000" w:sz="4"/>
                    <w:bottom w:val="single" w:color="000000" w:sz="4"/>
                    <w:right w:val="single" w:color="000000" w:sz="4"/>
                  </w:tcBorders>
                </w:tcPr>
                <w:p/>
              </w:tc>
            </w:tr>
            <w:tr>
              <w:tc>
                <w:tcPr>
                  <w:tcW w:type="dxa" w:w="142"/>
                  <w:vMerge/>
                  <w:tcBorders>
                    <w:top w:val="none" w:color="000000" w:sz="4"/>
                    <w:left w:val="single" w:color="000000" w:sz="4"/>
                    <w:bottom w:val="single" w:color="000000" w:sz="4"/>
                    <w:right w:val="single" w:color="000000" w:sz="4"/>
                  </w:tcBorders>
                </w:tcPr>
                <w:p/>
              </w:tc>
              <w:tc>
                <w:tcPr>
                  <w:tcW w:type="dxa" w:w="270"/>
                  <w:vMerge/>
                  <w:tcBorders>
                    <w:top w:val="none" w:color="000000" w:sz="4"/>
                    <w:left w:val="none" w:color="000000" w:sz="4"/>
                    <w:bottom w:val="single" w:color="000000" w:sz="4"/>
                    <w:right w:val="single" w:color="000000" w:sz="4"/>
                  </w:tcBorders>
                </w:tcPr>
                <w:p/>
              </w:tc>
              <w:tc>
                <w:tcPr>
                  <w:tcW w:type="dxa" w:w="4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XG-SFP-LR-SM1310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23"/>
                  <w:vMerge/>
                  <w:tcBorders>
                    <w:top w:val="none" w:color="000000" w:sz="4"/>
                    <w:left w:val="none" w:color="000000" w:sz="4"/>
                    <w:bottom w:val="single" w:color="000000" w:sz="4"/>
                    <w:right w:val="single" w:color="000000" w:sz="4"/>
                  </w:tcBorders>
                </w:tcPr>
                <w:p/>
              </w:tc>
              <w:tc>
                <w:tcPr>
                  <w:tcW w:type="dxa" w:w="239"/>
                  <w:vMerge/>
                  <w:tcBorders>
                    <w:top w:val="none" w:color="000000" w:sz="4"/>
                    <w:left w:val="none" w:color="000000" w:sz="4"/>
                    <w:bottom w:val="single" w:color="000000" w:sz="4"/>
                    <w:right w:val="single" w:color="000000" w:sz="4"/>
                  </w:tcBorders>
                </w:tcPr>
                <w:p/>
              </w:tc>
            </w:tr>
            <w:tr>
              <w:tc>
                <w:tcPr>
                  <w:tcW w:type="dxa" w:w="142"/>
                  <w:vMerge/>
                  <w:tcBorders>
                    <w:top w:val="none" w:color="000000" w:sz="4"/>
                    <w:left w:val="single" w:color="000000" w:sz="4"/>
                    <w:bottom w:val="single" w:color="000000" w:sz="4"/>
                    <w:right w:val="single" w:color="000000" w:sz="4"/>
                  </w:tcBorders>
                </w:tcPr>
                <w:p/>
              </w:tc>
              <w:tc>
                <w:tcPr>
                  <w:tcW w:type="dxa" w:w="270"/>
                  <w:vMerge/>
                  <w:tcBorders>
                    <w:top w:val="none" w:color="000000" w:sz="4"/>
                    <w:left w:val="none" w:color="000000" w:sz="4"/>
                    <w:bottom w:val="single" w:color="000000" w:sz="4"/>
                    <w:right w:val="single" w:color="000000" w:sz="4"/>
                  </w:tcBorders>
                </w:tcPr>
                <w:p/>
              </w:tc>
              <w:tc>
                <w:tcPr>
                  <w:tcW w:type="dxa" w:w="489"/>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M12000-48XS-DA</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23"/>
                  <w:vMerge/>
                  <w:tcBorders>
                    <w:top w:val="none" w:color="000000" w:sz="4"/>
                    <w:left w:val="none" w:color="000000" w:sz="4"/>
                    <w:bottom w:val="single" w:color="000000" w:sz="4"/>
                    <w:right w:val="single" w:color="000000" w:sz="4"/>
                  </w:tcBorders>
                </w:tcPr>
                <w:p/>
              </w:tc>
              <w:tc>
                <w:tcPr>
                  <w:tcW w:type="dxa" w:w="239"/>
                  <w:vMerge/>
                  <w:tcBorders>
                    <w:top w:val="none" w:color="000000" w:sz="4"/>
                    <w:left w:val="none" w:color="000000" w:sz="4"/>
                    <w:bottom w:val="single" w:color="000000" w:sz="4"/>
                    <w:right w:val="single" w:color="000000" w:sz="4"/>
                  </w:tcBorders>
                </w:tcPr>
                <w:p/>
              </w:tc>
            </w:tr>
            <w:tr>
              <w:tc>
                <w:tcPr>
                  <w:tcW w:type="dxa" w:w="142"/>
                  <w:vMerge/>
                  <w:tcBorders>
                    <w:top w:val="none" w:color="000000" w:sz="4"/>
                    <w:left w:val="single" w:color="000000" w:sz="4"/>
                    <w:bottom w:val="single" w:color="000000" w:sz="4"/>
                    <w:right w:val="single" w:color="000000" w:sz="4"/>
                  </w:tcBorders>
                </w:tcPr>
                <w:p/>
              </w:tc>
              <w:tc>
                <w:tcPr>
                  <w:tcW w:type="dxa" w:w="270"/>
                  <w:vMerge/>
                  <w:tcBorders>
                    <w:top w:val="none" w:color="000000" w:sz="4"/>
                    <w:left w:val="none" w:color="000000" w:sz="4"/>
                    <w:bottom w:val="single" w:color="000000" w:sz="4"/>
                    <w:right w:val="single" w:color="000000" w:sz="4"/>
                  </w:tcBorders>
                </w:tcPr>
                <w:p/>
              </w:tc>
              <w:tc>
                <w:tcPr>
                  <w:tcW w:type="dxa" w:w="489"/>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RG-PA2000I</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23"/>
                  <w:vMerge/>
                  <w:tcBorders>
                    <w:top w:val="none" w:color="000000" w:sz="4"/>
                    <w:left w:val="none" w:color="000000" w:sz="4"/>
                    <w:bottom w:val="single" w:color="000000" w:sz="4"/>
                    <w:right w:val="single" w:color="000000" w:sz="4"/>
                  </w:tcBorders>
                </w:tcPr>
                <w:p/>
              </w:tc>
              <w:tc>
                <w:tcPr>
                  <w:tcW w:type="dxa" w:w="239"/>
                  <w:vMerge/>
                  <w:tcBorders>
                    <w:top w:val="none" w:color="000000" w:sz="4"/>
                    <w:left w:val="none" w:color="000000" w:sz="4"/>
                    <w:bottom w:val="single" w:color="000000" w:sz="4"/>
                    <w:right w:val="single" w:color="000000" w:sz="4"/>
                  </w:tcBorders>
                </w:tcPr>
                <w:p/>
              </w:tc>
            </w:tr>
            <w:tr>
              <w:tc>
                <w:tcPr>
                  <w:tcW w:type="dxa" w:w="1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楼层汇聚</w:t>
                  </w:r>
                </w:p>
              </w:tc>
              <w:tc>
                <w:tcPr>
                  <w:tcW w:type="dxa" w:w="4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锐捷</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RG-S6120-48XS8CQ</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2"/>
                  <w:vMerge/>
                  <w:tcBorders>
                    <w:top w:val="none" w:color="000000" w:sz="4"/>
                    <w:left w:val="single" w:color="000000" w:sz="4"/>
                    <w:bottom w:val="single" w:color="000000" w:sz="4"/>
                    <w:right w:val="single" w:color="000000" w:sz="4"/>
                  </w:tcBorders>
                </w:tcPr>
                <w:p/>
              </w:tc>
              <w:tc>
                <w:tcPr>
                  <w:tcW w:type="dxa" w:w="270"/>
                  <w:vMerge/>
                  <w:tcBorders>
                    <w:top w:val="none" w:color="000000" w:sz="4"/>
                    <w:left w:val="none" w:color="000000" w:sz="4"/>
                    <w:bottom w:val="single" w:color="000000" w:sz="4"/>
                    <w:right w:val="single" w:color="000000" w:sz="4"/>
                  </w:tcBorders>
                </w:tcPr>
                <w:p/>
              </w:tc>
              <w:tc>
                <w:tcPr>
                  <w:tcW w:type="dxa" w:w="489"/>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RG-PA5501II-F</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23"/>
                  <w:vMerge/>
                  <w:tcBorders>
                    <w:top w:val="none" w:color="000000" w:sz="4"/>
                    <w:left w:val="none" w:color="000000" w:sz="4"/>
                    <w:bottom w:val="single" w:color="000000" w:sz="4"/>
                    <w:right w:val="single" w:color="000000" w:sz="4"/>
                  </w:tcBorders>
                </w:tcPr>
                <w:p/>
              </w:tc>
              <w:tc>
                <w:tcPr>
                  <w:tcW w:type="dxa" w:w="239"/>
                  <w:vMerge/>
                  <w:tcBorders>
                    <w:top w:val="none" w:color="000000" w:sz="4"/>
                    <w:left w:val="none" w:color="000000" w:sz="4"/>
                    <w:bottom w:val="single" w:color="000000" w:sz="4"/>
                    <w:right w:val="single" w:color="000000" w:sz="4"/>
                  </w:tcBorders>
                </w:tcPr>
                <w:p/>
              </w:tc>
            </w:tr>
            <w:tr>
              <w:tc>
                <w:tcPr>
                  <w:tcW w:type="dxa" w:w="142"/>
                  <w:vMerge/>
                  <w:tcBorders>
                    <w:top w:val="none" w:color="000000" w:sz="4"/>
                    <w:left w:val="single" w:color="000000" w:sz="4"/>
                    <w:bottom w:val="single" w:color="000000" w:sz="4"/>
                    <w:right w:val="single" w:color="000000" w:sz="4"/>
                  </w:tcBorders>
                </w:tcPr>
                <w:p/>
              </w:tc>
              <w:tc>
                <w:tcPr>
                  <w:tcW w:type="dxa" w:w="270"/>
                  <w:vMerge/>
                  <w:tcBorders>
                    <w:top w:val="none" w:color="000000" w:sz="4"/>
                    <w:left w:val="none" w:color="000000" w:sz="4"/>
                    <w:bottom w:val="single" w:color="000000" w:sz="4"/>
                    <w:right w:val="single" w:color="000000" w:sz="4"/>
                  </w:tcBorders>
                </w:tcPr>
                <w:p/>
              </w:tc>
              <w:tc>
                <w:tcPr>
                  <w:tcW w:type="dxa" w:w="489"/>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40G-AOC-5M</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23"/>
                  <w:vMerge/>
                  <w:tcBorders>
                    <w:top w:val="none" w:color="000000" w:sz="4"/>
                    <w:left w:val="none" w:color="000000" w:sz="4"/>
                    <w:bottom w:val="single" w:color="000000" w:sz="4"/>
                    <w:right w:val="single" w:color="000000" w:sz="4"/>
                  </w:tcBorders>
                </w:tcPr>
                <w:p/>
              </w:tc>
              <w:tc>
                <w:tcPr>
                  <w:tcW w:type="dxa" w:w="239"/>
                  <w:vMerge/>
                  <w:tcBorders>
                    <w:top w:val="none" w:color="000000" w:sz="4"/>
                    <w:left w:val="none" w:color="000000" w:sz="4"/>
                    <w:bottom w:val="single" w:color="000000" w:sz="4"/>
                    <w:right w:val="single" w:color="000000" w:sz="4"/>
                  </w:tcBorders>
                </w:tcPr>
                <w:p/>
              </w:tc>
            </w:tr>
            <w:tr>
              <w:tc>
                <w:tcPr>
                  <w:tcW w:type="dxa" w:w="1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安防设备网</w:t>
                  </w:r>
                </w:p>
              </w:tc>
              <w:tc>
                <w:tcPr>
                  <w:tcW w:type="dxa" w:w="4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华为</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S7706</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2"/>
                  <w:vMerge/>
                  <w:tcBorders>
                    <w:top w:val="none" w:color="000000" w:sz="4"/>
                    <w:left w:val="single" w:color="000000" w:sz="4"/>
                    <w:bottom w:val="single" w:color="000000" w:sz="4"/>
                    <w:right w:val="single" w:color="000000" w:sz="4"/>
                  </w:tcBorders>
                </w:tcP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核心节点</w:t>
                  </w:r>
                </w:p>
              </w:tc>
              <w:tc>
                <w:tcPr>
                  <w:tcW w:type="dxa" w:w="489"/>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S5731-S32ST4X</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3"/>
                  <w:vMerge/>
                  <w:tcBorders>
                    <w:top w:val="none" w:color="000000" w:sz="4"/>
                    <w:left w:val="none" w:color="000000" w:sz="4"/>
                    <w:bottom w:val="single" w:color="000000" w:sz="4"/>
                    <w:right w:val="single" w:color="000000" w:sz="4"/>
                  </w:tcBorders>
                </w:tcPr>
                <w:p/>
              </w:tc>
              <w:tc>
                <w:tcPr>
                  <w:tcW w:type="dxa" w:w="239"/>
                  <w:vMerge/>
                  <w:tcBorders>
                    <w:top w:val="none" w:color="000000" w:sz="4"/>
                    <w:left w:val="none" w:color="000000" w:sz="4"/>
                    <w:bottom w:val="single" w:color="000000" w:sz="4"/>
                    <w:right w:val="single" w:color="000000" w:sz="4"/>
                  </w:tcBorders>
                </w:tcPr>
                <w:p/>
              </w:tc>
            </w:tr>
            <w:tr>
              <w:tc>
                <w:tcPr>
                  <w:tcW w:type="dxa" w:w="142"/>
                  <w:vMerge/>
                  <w:tcBorders>
                    <w:top w:val="none" w:color="000000" w:sz="4"/>
                    <w:left w:val="single" w:color="000000" w:sz="4"/>
                    <w:bottom w:val="single" w:color="000000" w:sz="4"/>
                    <w:right w:val="single" w:color="000000" w:sz="4"/>
                  </w:tcBorders>
                </w:tcP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89"/>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S5735-L24P4X-AI</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3"/>
                  <w:vMerge/>
                  <w:tcBorders>
                    <w:top w:val="none" w:color="000000" w:sz="4"/>
                    <w:left w:val="none" w:color="000000" w:sz="4"/>
                    <w:bottom w:val="single" w:color="000000" w:sz="4"/>
                    <w:right w:val="single" w:color="000000" w:sz="4"/>
                  </w:tcBorders>
                </w:tcPr>
                <w:p/>
              </w:tc>
              <w:tc>
                <w:tcPr>
                  <w:tcW w:type="dxa" w:w="239"/>
                  <w:vMerge/>
                  <w:tcBorders>
                    <w:top w:val="none" w:color="000000" w:sz="4"/>
                    <w:left w:val="none" w:color="000000" w:sz="4"/>
                    <w:bottom w:val="single" w:color="000000" w:sz="4"/>
                    <w:right w:val="single" w:color="000000" w:sz="4"/>
                  </w:tcBorders>
                </w:tcPr>
                <w:p/>
              </w:tc>
            </w:tr>
            <w:tr>
              <w:tc>
                <w:tcPr>
                  <w:tcW w:type="dxa" w:w="1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终端接入层</w:t>
                  </w:r>
                </w:p>
              </w:tc>
              <w:tc>
                <w:tcPr>
                  <w:tcW w:type="dxa" w:w="4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RG-S2910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RG-S2910C-24GT2XS-HP-E</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w:t>
                  </w:r>
                </w:p>
              </w:tc>
              <w:tc>
                <w:tcPr>
                  <w:tcW w:type="dxa" w:w="2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301</w:t>
                  </w:r>
                </w:p>
              </w:tc>
              <w:tc>
                <w:tcPr>
                  <w:tcW w:type="dxa" w:w="2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24口或者48口千兆，4口万兆，接入采用10G到汇聚交换机，1G到桌面。</w:t>
                  </w:r>
                </w:p>
              </w:tc>
            </w:tr>
            <w:tr>
              <w:tc>
                <w:tcPr>
                  <w:tcW w:type="dxa" w:w="142"/>
                  <w:vMerge/>
                  <w:tcBorders>
                    <w:top w:val="none" w:color="000000" w:sz="4"/>
                    <w:left w:val="single" w:color="000000" w:sz="4"/>
                    <w:bottom w:val="single" w:color="000000" w:sz="4"/>
                    <w:right w:val="single" w:color="000000" w:sz="4"/>
                  </w:tcBorders>
                </w:tcPr>
                <w:p/>
              </w:tc>
              <w:tc>
                <w:tcPr>
                  <w:tcW w:type="dxa" w:w="270"/>
                  <w:vMerge/>
                  <w:tcBorders>
                    <w:top w:val="none" w:color="000000" w:sz="4"/>
                    <w:left w:val="none" w:color="000000" w:sz="4"/>
                    <w:bottom w:val="single" w:color="000000" w:sz="4"/>
                    <w:right w:val="single" w:color="000000" w:sz="4"/>
                  </w:tcBorders>
                </w:tcPr>
                <w:p/>
              </w:tc>
              <w:tc>
                <w:tcPr>
                  <w:tcW w:type="dxa" w:w="489"/>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RG-M5000E-AC500P</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c>
                <w:tcPr>
                  <w:tcW w:type="dxa" w:w="223"/>
                  <w:vMerge/>
                  <w:tcBorders>
                    <w:top w:val="none" w:color="000000" w:sz="4"/>
                    <w:left w:val="none" w:color="000000" w:sz="4"/>
                    <w:bottom w:val="single" w:color="000000" w:sz="4"/>
                    <w:right w:val="single" w:color="000000" w:sz="4"/>
                  </w:tcBorders>
                </w:tcPr>
                <w:p/>
              </w:tc>
              <w:tc>
                <w:tcPr>
                  <w:tcW w:type="dxa" w:w="239"/>
                  <w:vMerge/>
                  <w:tcBorders>
                    <w:top w:val="none" w:color="000000" w:sz="4"/>
                    <w:left w:val="none" w:color="000000" w:sz="4"/>
                    <w:bottom w:val="single" w:color="000000" w:sz="4"/>
                    <w:right w:val="single" w:color="000000" w:sz="4"/>
                  </w:tcBorders>
                </w:tcPr>
                <w:p/>
              </w:tc>
            </w:tr>
            <w:tr>
              <w:tc>
                <w:tcPr>
                  <w:tcW w:type="dxa" w:w="142"/>
                  <w:vMerge/>
                  <w:tcBorders>
                    <w:top w:val="none" w:color="000000" w:sz="4"/>
                    <w:left w:val="single" w:color="000000" w:sz="4"/>
                    <w:bottom w:val="single" w:color="000000" w:sz="4"/>
                    <w:right w:val="single" w:color="000000" w:sz="4"/>
                  </w:tcBorders>
                </w:tcPr>
                <w:p/>
              </w:tc>
              <w:tc>
                <w:tcPr>
                  <w:tcW w:type="dxa" w:w="270"/>
                  <w:vMerge/>
                  <w:tcBorders>
                    <w:top w:val="none" w:color="000000" w:sz="4"/>
                    <w:left w:val="none" w:color="000000" w:sz="4"/>
                    <w:bottom w:val="single" w:color="000000" w:sz="4"/>
                    <w:right w:val="single" w:color="000000" w:sz="4"/>
                  </w:tcBorders>
                </w:tcPr>
                <w:p/>
              </w:tc>
              <w:tc>
                <w:tcPr>
                  <w:tcW w:type="dxa" w:w="489"/>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RG-PA1150P-F</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223"/>
                  <w:vMerge/>
                  <w:tcBorders>
                    <w:top w:val="none" w:color="000000" w:sz="4"/>
                    <w:left w:val="none" w:color="000000" w:sz="4"/>
                    <w:bottom w:val="single" w:color="000000" w:sz="4"/>
                    <w:right w:val="single" w:color="000000" w:sz="4"/>
                  </w:tcBorders>
                </w:tcPr>
                <w:p/>
              </w:tc>
              <w:tc>
                <w:tcPr>
                  <w:tcW w:type="dxa" w:w="239"/>
                  <w:vMerge/>
                  <w:tcBorders>
                    <w:top w:val="none" w:color="000000" w:sz="4"/>
                    <w:left w:val="none" w:color="000000" w:sz="4"/>
                    <w:bottom w:val="single" w:color="000000" w:sz="4"/>
                    <w:right w:val="single" w:color="000000" w:sz="4"/>
                  </w:tcBorders>
                </w:tcPr>
                <w:p/>
              </w:tc>
            </w:tr>
            <w:tr>
              <w:tc>
                <w:tcPr>
                  <w:tcW w:type="dxa" w:w="142"/>
                  <w:vMerge/>
                  <w:tcBorders>
                    <w:top w:val="none" w:color="000000" w:sz="4"/>
                    <w:left w:val="single" w:color="000000" w:sz="4"/>
                    <w:bottom w:val="single" w:color="000000" w:sz="4"/>
                    <w:right w:val="single" w:color="000000" w:sz="4"/>
                  </w:tcBorders>
                </w:tcPr>
                <w:p/>
              </w:tc>
              <w:tc>
                <w:tcPr>
                  <w:tcW w:type="dxa" w:w="270"/>
                  <w:vMerge/>
                  <w:tcBorders>
                    <w:top w:val="none" w:color="000000" w:sz="4"/>
                    <w:left w:val="none" w:color="000000" w:sz="4"/>
                    <w:bottom w:val="single" w:color="000000" w:sz="4"/>
                    <w:right w:val="single" w:color="000000" w:sz="4"/>
                  </w:tcBorders>
                </w:tcPr>
                <w:p/>
              </w:tc>
              <w:tc>
                <w:tcPr>
                  <w:tcW w:type="dxa" w:w="489"/>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RG-S2910-24GT4XS-E</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115</w:t>
                  </w:r>
                </w:p>
              </w:tc>
              <w:tc>
                <w:tcPr>
                  <w:tcW w:type="dxa" w:w="223"/>
                  <w:vMerge/>
                  <w:tcBorders>
                    <w:top w:val="none" w:color="000000" w:sz="4"/>
                    <w:left w:val="none" w:color="000000" w:sz="4"/>
                    <w:bottom w:val="single" w:color="000000" w:sz="4"/>
                    <w:right w:val="single" w:color="000000" w:sz="4"/>
                  </w:tcBorders>
                </w:tcPr>
                <w:p/>
              </w:tc>
              <w:tc>
                <w:tcPr>
                  <w:tcW w:type="dxa" w:w="239"/>
                  <w:vMerge/>
                  <w:tcBorders>
                    <w:top w:val="none" w:color="000000" w:sz="4"/>
                    <w:left w:val="none" w:color="000000" w:sz="4"/>
                    <w:bottom w:val="single" w:color="000000" w:sz="4"/>
                    <w:right w:val="single" w:color="000000" w:sz="4"/>
                  </w:tcBorders>
                </w:tcPr>
                <w:p/>
              </w:tc>
            </w:tr>
            <w:tr>
              <w:tc>
                <w:tcPr>
                  <w:tcW w:type="dxa" w:w="142"/>
                  <w:vMerge/>
                  <w:tcBorders>
                    <w:top w:val="none" w:color="000000" w:sz="4"/>
                    <w:left w:val="single" w:color="000000" w:sz="4"/>
                    <w:bottom w:val="single" w:color="000000" w:sz="4"/>
                    <w:right w:val="single" w:color="000000" w:sz="4"/>
                  </w:tcBorders>
                </w:tcPr>
                <w:p/>
              </w:tc>
              <w:tc>
                <w:tcPr>
                  <w:tcW w:type="dxa" w:w="270"/>
                  <w:vMerge/>
                  <w:tcBorders>
                    <w:top w:val="none" w:color="000000" w:sz="4"/>
                    <w:left w:val="none" w:color="000000" w:sz="4"/>
                    <w:bottom w:val="single" w:color="000000" w:sz="4"/>
                    <w:right w:val="single" w:color="000000" w:sz="4"/>
                  </w:tcBorders>
                </w:tc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RG-S2628</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RG-S2628G-I</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223"/>
                  <w:vMerge/>
                  <w:tcBorders>
                    <w:top w:val="none" w:color="000000" w:sz="4"/>
                    <w:left w:val="none" w:color="000000" w:sz="4"/>
                    <w:bottom w:val="single" w:color="000000" w:sz="4"/>
                    <w:right w:val="single" w:color="000000" w:sz="4"/>
                  </w:tcBorders>
                </w:tcPr>
                <w:p/>
              </w:tc>
              <w:tc>
                <w:tcPr>
                  <w:tcW w:type="dxa" w:w="239"/>
                  <w:vMerge/>
                  <w:tcBorders>
                    <w:top w:val="none" w:color="000000" w:sz="4"/>
                    <w:left w:val="none" w:color="000000" w:sz="4"/>
                    <w:bottom w:val="single" w:color="000000" w:sz="4"/>
                    <w:right w:val="single" w:color="000000" w:sz="4"/>
                  </w:tcBorders>
                </w:tcPr>
                <w:p/>
              </w:tc>
            </w:tr>
            <w:tr>
              <w:tc>
                <w:tcPr>
                  <w:tcW w:type="dxa" w:w="142"/>
                  <w:vMerge/>
                  <w:tcBorders>
                    <w:top w:val="none" w:color="000000" w:sz="4"/>
                    <w:left w:val="single" w:color="000000" w:sz="4"/>
                    <w:bottom w:val="single" w:color="000000" w:sz="4"/>
                    <w:right w:val="single" w:color="000000" w:sz="4"/>
                  </w:tcBorders>
                </w:tcPr>
                <w:p/>
              </w:tc>
              <w:tc>
                <w:tcPr>
                  <w:tcW w:type="dxa" w:w="270"/>
                  <w:vMerge/>
                  <w:tcBorders>
                    <w:top w:val="none" w:color="000000" w:sz="4"/>
                    <w:left w:val="none" w:color="000000" w:sz="4"/>
                    <w:bottom w:val="single" w:color="000000" w:sz="4"/>
                    <w:right w:val="single" w:color="000000" w:sz="4"/>
                  </w:tcBorders>
                </w:tc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RG-S2928</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RG-S2928G-E</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c>
                <w:tcPr>
                  <w:tcW w:type="dxa" w:w="223"/>
                  <w:vMerge/>
                  <w:tcBorders>
                    <w:top w:val="none" w:color="000000" w:sz="4"/>
                    <w:left w:val="none" w:color="000000" w:sz="4"/>
                    <w:bottom w:val="single" w:color="000000" w:sz="4"/>
                    <w:right w:val="single" w:color="000000" w:sz="4"/>
                  </w:tcBorders>
                </w:tcPr>
                <w:p/>
              </w:tc>
              <w:tc>
                <w:tcPr>
                  <w:tcW w:type="dxa" w:w="239"/>
                  <w:vMerge/>
                  <w:tcBorders>
                    <w:top w:val="none" w:color="000000" w:sz="4"/>
                    <w:left w:val="none" w:color="000000" w:sz="4"/>
                    <w:bottom w:val="single" w:color="000000" w:sz="4"/>
                    <w:right w:val="single" w:color="000000" w:sz="4"/>
                  </w:tcBorders>
                </w:tcP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外网核心</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S12700E-4</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S12700E-4</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疏解业务网汇聚节点数据运行压力，保障网络链路稳定</w:t>
                  </w:r>
                </w:p>
              </w:tc>
            </w:tr>
            <w:tr>
              <w:tc>
                <w:tcPr>
                  <w:tcW w:type="dxa" w:w="1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模块</w:t>
                  </w:r>
                </w:p>
              </w:tc>
              <w:tc>
                <w:tcPr>
                  <w:tcW w:type="dxa" w:w="4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模块</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XG-SFP-SR-MM850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338</w:t>
                  </w:r>
                </w:p>
              </w:tc>
              <w:tc>
                <w:tcPr>
                  <w:tcW w:type="dxa" w:w="2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2"/>
                  <w:vMerge/>
                  <w:tcBorders>
                    <w:top w:val="none" w:color="000000" w:sz="4"/>
                    <w:left w:val="single" w:color="000000" w:sz="4"/>
                    <w:bottom w:val="single" w:color="000000" w:sz="4"/>
                    <w:right w:val="single" w:color="000000" w:sz="4"/>
                  </w:tcBorders>
                </w:tcPr>
                <w:p/>
              </w:tc>
              <w:tc>
                <w:tcPr>
                  <w:tcW w:type="dxa" w:w="270"/>
                  <w:vMerge/>
                  <w:tcBorders>
                    <w:top w:val="none" w:color="000000" w:sz="4"/>
                    <w:left w:val="none" w:color="000000" w:sz="4"/>
                    <w:bottom w:val="single" w:color="000000" w:sz="4"/>
                    <w:right w:val="single" w:color="000000" w:sz="4"/>
                  </w:tcBorders>
                </w:tcPr>
                <w:p/>
              </w:tc>
              <w:tc>
                <w:tcPr>
                  <w:tcW w:type="dxa" w:w="489"/>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Mini-GBIC-LX</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w:t>
                  </w:r>
                </w:p>
              </w:tc>
              <w:tc>
                <w:tcPr>
                  <w:tcW w:type="dxa" w:w="239"/>
                  <w:vMerge/>
                  <w:tcBorders>
                    <w:top w:val="none" w:color="000000" w:sz="4"/>
                    <w:left w:val="none" w:color="000000" w:sz="4"/>
                    <w:bottom w:val="single" w:color="000000" w:sz="4"/>
                    <w:right w:val="single" w:color="000000" w:sz="4"/>
                  </w:tcBorders>
                </w:tcPr>
                <w:p/>
              </w:tc>
            </w:tr>
            <w:tr>
              <w:tc>
                <w:tcPr>
                  <w:tcW w:type="dxa" w:w="142"/>
                  <w:vMerge/>
                  <w:tcBorders>
                    <w:top w:val="none" w:color="000000" w:sz="4"/>
                    <w:left w:val="single" w:color="000000" w:sz="4"/>
                    <w:bottom w:val="single" w:color="000000" w:sz="4"/>
                    <w:right w:val="single" w:color="000000" w:sz="4"/>
                  </w:tcBorders>
                </w:tcPr>
                <w:p/>
              </w:tc>
              <w:tc>
                <w:tcPr>
                  <w:tcW w:type="dxa" w:w="270"/>
                  <w:vMerge/>
                  <w:tcBorders>
                    <w:top w:val="none" w:color="000000" w:sz="4"/>
                    <w:left w:val="none" w:color="000000" w:sz="4"/>
                    <w:bottom w:val="single" w:color="000000" w:sz="4"/>
                    <w:right w:val="single" w:color="000000" w:sz="4"/>
                  </w:tcBorders>
                </w:tcPr>
                <w:p/>
              </w:tc>
              <w:tc>
                <w:tcPr>
                  <w:tcW w:type="dxa" w:w="489"/>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Mini-GBIC-SX</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273</w:t>
                  </w:r>
                </w:p>
              </w:tc>
              <w:tc>
                <w:tcPr>
                  <w:tcW w:type="dxa" w:w="239"/>
                  <w:vMerge/>
                  <w:tcBorders>
                    <w:top w:val="none" w:color="000000" w:sz="4"/>
                    <w:left w:val="none" w:color="000000" w:sz="4"/>
                    <w:bottom w:val="single" w:color="000000" w:sz="4"/>
                    <w:right w:val="single" w:color="000000" w:sz="4"/>
                  </w:tcBorders>
                </w:tcP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内网无线</w:t>
                  </w:r>
                  <w:r>
                    <w:rPr>
                      <w:rFonts w:ascii="仿宋_GB2312" w:hAnsi="仿宋_GB2312" w:cs="仿宋_GB2312" w:eastAsia="仿宋_GB2312"/>
                      <w:sz w:val="24"/>
                      <w:color w:val="000000"/>
                    </w:rPr>
                    <w:t>AC控制器</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WS7208-A</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WS7208-A</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内网无线接汇聚交换机</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RG-S6120-48XS8CQ</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RG-S6120-48XS9CQ</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内网无线接入交换机</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S5310-24GT4XS-P-E</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S5310-24GT4XS-P-E</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无线</w:t>
                  </w:r>
                  <w:r>
                    <w:rPr>
                      <w:rFonts w:ascii="仿宋_GB2312" w:hAnsi="仿宋_GB2312" w:cs="仿宋_GB2312" w:eastAsia="仿宋_GB2312"/>
                      <w:sz w:val="24"/>
                      <w:color w:val="000000"/>
                    </w:rPr>
                    <w:t>AP</w:t>
                  </w:r>
                  <w:r>
                    <w:rPr>
                      <w:rFonts w:ascii="仿宋_GB2312" w:hAnsi="仿宋_GB2312" w:cs="仿宋_GB2312" w:eastAsia="仿宋_GB2312"/>
                      <w:sz w:val="24"/>
                      <w:color w:val="000000"/>
                    </w:rPr>
                    <w:t>终端</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APD-M</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APD-M</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7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小计</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195</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7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二期网络设备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外网核心交换机</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S7703</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S7703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外网</w:t>
                  </w: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外网汇聚交换机</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S6720-54C-EI-48S-AC</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S6720-54C-EI-48S-AC</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外网</w:t>
                  </w: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外网</w:t>
                  </w:r>
                  <w:r>
                    <w:rPr>
                      <w:rFonts w:ascii="仿宋_GB2312" w:hAnsi="仿宋_GB2312" w:cs="仿宋_GB2312" w:eastAsia="仿宋_GB2312"/>
                      <w:sz w:val="24"/>
                      <w:color w:val="000000"/>
                    </w:rPr>
                    <w:t>24口接入交换机</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S5735-L24T4X-A1</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S5735-L24T4X-A1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外网</w:t>
                  </w: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外网</w:t>
                  </w:r>
                  <w:r>
                    <w:rPr>
                      <w:rFonts w:ascii="仿宋_GB2312" w:hAnsi="仿宋_GB2312" w:cs="仿宋_GB2312" w:eastAsia="仿宋_GB2312"/>
                      <w:sz w:val="24"/>
                      <w:color w:val="000000"/>
                    </w:rPr>
                    <w:t>48口接入交换机</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S5735-L48T4X-A1</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S5735-L48T4X-A1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外网</w:t>
                  </w: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光模块</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万兆多模光模块</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万兆多模光模块</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174</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外网</w:t>
                  </w: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光模块</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万兆单模光模块</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万兆单模光模块</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外网</w:t>
                  </w: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灾备机房核心交换机</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S7703</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S7703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灾备中心</w:t>
                  </w: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灾备机房内网服务器汇聚交换机</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6857E-48S6CQ</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6857E-48S6CQ</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灾备中心</w:t>
                  </w: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光模块</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万兆多模光模块</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万兆多模光模块</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灾备中心</w:t>
                  </w: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光模块</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万兆单模光模块</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万兆单模光模块</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灾备中心</w:t>
                  </w: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设备网防火墙</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USG6565E-AC</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USG6565E-AC</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设备网</w:t>
                  </w: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设备网核心交换机</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S7703</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S7703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设备网</w:t>
                  </w: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设备网</w:t>
                  </w:r>
                  <w:r>
                    <w:rPr>
                      <w:rFonts w:ascii="仿宋_GB2312" w:hAnsi="仿宋_GB2312" w:cs="仿宋_GB2312" w:eastAsia="仿宋_GB2312"/>
                      <w:sz w:val="24"/>
                      <w:color w:val="000000"/>
                    </w:rPr>
                    <w:t>24口汇聚</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S6720-54C-EI-48S-AC</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S6720-54C-EI-48S-AC</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设备网</w:t>
                  </w: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设备网</w:t>
                  </w:r>
                  <w:r>
                    <w:rPr>
                      <w:rFonts w:ascii="仿宋_GB2312" w:hAnsi="仿宋_GB2312" w:cs="仿宋_GB2312" w:eastAsia="仿宋_GB2312"/>
                      <w:sz w:val="24"/>
                      <w:color w:val="000000"/>
                    </w:rPr>
                    <w:t>24口POE交换机</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S5735-L24P4X-A1</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S5735-L24P4X-A1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设备网</w:t>
                  </w: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设备网</w:t>
                  </w:r>
                  <w:r>
                    <w:rPr>
                      <w:rFonts w:ascii="仿宋_GB2312" w:hAnsi="仿宋_GB2312" w:cs="仿宋_GB2312" w:eastAsia="仿宋_GB2312"/>
                      <w:sz w:val="24"/>
                      <w:color w:val="000000"/>
                    </w:rPr>
                    <w:t>24口接入交换机</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S5735-L24T4X-A1</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S5735-L24T4X-A1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设备网</w:t>
                  </w: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设备网网管平台</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iMaster NCE-Campus</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iMaster NCE-Campus</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设备网</w:t>
                  </w: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光模块</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万兆多模光模块</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万兆多模光模块</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168</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设备网</w:t>
                  </w: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光模块</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万兆单模光模块</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万兆单模光模块</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设备网</w:t>
                  </w: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内网核心交换机</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CloudEngine S12700E-8</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CloudEngine S12700E-8</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内网</w:t>
                  </w: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内网汇聚交换机</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S6720-54C-EI-48S-AC</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S6720-54C-EI-48S-AC</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内网</w:t>
                  </w: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内网</w:t>
                  </w:r>
                  <w:r>
                    <w:rPr>
                      <w:rFonts w:ascii="仿宋_GB2312" w:hAnsi="仿宋_GB2312" w:cs="仿宋_GB2312" w:eastAsia="仿宋_GB2312"/>
                      <w:sz w:val="24"/>
                      <w:color w:val="000000"/>
                    </w:rPr>
                    <w:t>24口接入交换机</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S5735-L24T4X-A1</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S5735-L24T4X-A1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内网</w:t>
                  </w: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内网</w:t>
                  </w:r>
                  <w:r>
                    <w:rPr>
                      <w:rFonts w:ascii="仿宋_GB2312" w:hAnsi="仿宋_GB2312" w:cs="仿宋_GB2312" w:eastAsia="仿宋_GB2312"/>
                      <w:sz w:val="24"/>
                      <w:color w:val="000000"/>
                    </w:rPr>
                    <w:t>24口POE交换机</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S5735-L24P4X-A1</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S5735-L24P4X-A1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108</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内网</w:t>
                  </w: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内网</w:t>
                  </w:r>
                  <w:r>
                    <w:rPr>
                      <w:rFonts w:ascii="仿宋_GB2312" w:hAnsi="仿宋_GB2312" w:cs="仿宋_GB2312" w:eastAsia="仿宋_GB2312"/>
                      <w:sz w:val="24"/>
                      <w:color w:val="000000"/>
                    </w:rPr>
                    <w:t>48口接入交换机</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S5735-L48T4X-A1</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S5735-L48T4X-A1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内网</w:t>
                  </w: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光模块</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万兆多模光模块</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万兆多模光模块</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394</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内网</w:t>
                  </w: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光模块</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万兆单模光模块</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万兆单模光模块</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内网</w:t>
                  </w: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55"/>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小计</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1119</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2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无线内网</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无线网络</w:t>
                  </w:r>
                </w:p>
              </w:tc>
              <w:tc>
                <w:tcPr>
                  <w:tcW w:type="dxa" w:w="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无线控制器（锐捷</w:t>
                  </w:r>
                  <w:r>
                    <w:rPr>
                      <w:rFonts w:ascii="仿宋_GB2312" w:hAnsi="仿宋_GB2312" w:cs="仿宋_GB2312" w:eastAsia="仿宋_GB2312"/>
                      <w:sz w:val="24"/>
                      <w:color w:val="000000"/>
                    </w:rPr>
                    <w:t>RG-LICWS128）</w:t>
                  </w:r>
                </w:p>
              </w:tc>
              <w:tc>
                <w:tcPr>
                  <w:tcW w:type="dxa" w:w="3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无线控制器（锐捷</w:t>
                  </w:r>
                  <w:r>
                    <w:rPr>
                      <w:rFonts w:ascii="仿宋_GB2312" w:hAnsi="仿宋_GB2312" w:cs="仿宋_GB2312" w:eastAsia="仿宋_GB2312"/>
                      <w:sz w:val="24"/>
                      <w:color w:val="000000"/>
                    </w:rPr>
                    <w:t>RG-LICWS128）</w:t>
                  </w:r>
                </w:p>
              </w:tc>
              <w:tc>
                <w:tcPr>
                  <w:tcW w:type="dxa" w:w="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内网</w:t>
                  </w: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汇聚交换机</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RG-S6120-48XS8CQ</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RG-S6120-48XS8CQ</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内网</w:t>
                  </w: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POE交换机</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RG-5610-24GT4XS-POE</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RG-5610-24GT4XS-POE</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内网</w:t>
                  </w: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室内分布基站</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锐捷</w:t>
                  </w:r>
                  <w:r>
                    <w:rPr>
                      <w:rFonts w:ascii="仿宋_GB2312" w:hAnsi="仿宋_GB2312" w:cs="仿宋_GB2312" w:eastAsia="仿宋_GB2312"/>
                      <w:sz w:val="24"/>
                      <w:color w:val="000000"/>
                    </w:rPr>
                    <w:t>RG-AP4820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锐捷</w:t>
                  </w:r>
                  <w:r>
                    <w:rPr>
                      <w:rFonts w:ascii="仿宋_GB2312" w:hAnsi="仿宋_GB2312" w:cs="仿宋_GB2312" w:eastAsia="仿宋_GB2312"/>
                      <w:sz w:val="24"/>
                      <w:color w:val="000000"/>
                    </w:rPr>
                    <w:t>RG-AP4820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内网</w:t>
                  </w: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射频信号分配系统</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APD-M</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APD-M</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内网</w:t>
                  </w: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55"/>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小计</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2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无线外网</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外网</w:t>
                  </w:r>
                  <w:r>
                    <w:rPr>
                      <w:rFonts w:ascii="仿宋_GB2312" w:hAnsi="仿宋_GB2312" w:cs="仿宋_GB2312" w:eastAsia="仿宋_GB2312"/>
                      <w:sz w:val="24"/>
                      <w:color w:val="000000"/>
                    </w:rPr>
                    <w:t>24口POE交换机</w:t>
                  </w:r>
                </w:p>
              </w:tc>
              <w:tc>
                <w:tcPr>
                  <w:tcW w:type="dxa" w:w="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S5735-L24P4X-A1</w:t>
                  </w:r>
                </w:p>
              </w:tc>
              <w:tc>
                <w:tcPr>
                  <w:tcW w:type="dxa" w:w="3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S5735-L24P4X-A1</w:t>
                  </w:r>
                </w:p>
              </w:tc>
              <w:tc>
                <w:tcPr>
                  <w:tcW w:type="dxa" w:w="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外网</w:t>
                  </w: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内网无线</w:t>
                  </w:r>
                  <w:r>
                    <w:rPr>
                      <w:rFonts w:ascii="仿宋_GB2312" w:hAnsi="仿宋_GB2312" w:cs="仿宋_GB2312" w:eastAsia="仿宋_GB2312"/>
                      <w:sz w:val="24"/>
                      <w:color w:val="000000"/>
                    </w:rPr>
                    <w:t>AP</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AirEngine 5762-12</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AirEngine 5762-12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316</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外网</w:t>
                  </w: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外网无线控制器</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AC6508</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AC6508</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外网</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西安市第三医院（采购人指定地点）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国家及行业相关标准。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合同签署并生效后，甲方支付合同总金额的 30%作为预付款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在服务周期满 6 个月后，甲方支付合同总金额的 40%作为中期款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在服务期满一年并通过验收后，支付剩余的 30%作为尾款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甲方所在地提起仲裁。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（二）财务状况报告（任选其一） 1、提供 2023 年度经审计的财务会 计报告（至少包括审计报告、资产 负债表和利润表，成立时间至提交 投标文件截止时间不足一年的可提 供成立后任意时段的资产负债 表）；2、或提供投标人基本存款账 户信息及开标日期前三个月内其基 本存款账户开户银行出具的资信证 明。3 财政部门认可的政府采购专 业担保机构出具的投标担保函（以 上三种形式的资料提供任何一种即 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（一）有效的主体资格证明：在中华人民共和国境内注册，并有效存续的营业执照/事业单位法人证书/非企业专业服务机构执业许可证/民 办非企业单位登记证书、税务登记证、组织机构代码证，或“三证合 一 ”后的注册登记证。 1.2 法定代表人委托授权书：（投标人为法人单位的）法定代表人亲自参加投标时，须提供法定代表人证明书及身份证复印件；法定代表人授权他人参加投标时，须提供法定代表人委托授权书、身份证及授权代表在投标单位近3个月缴纳社保证明材料。（投标人为非法人单位的）投标文件中凡是需要法定代表人签字或盖章之处，非法人单位的负责人均参照执行。 注：被授权代表须提供开标前连续近三个月在投标人单位的社保缴纳证明材料。</w:t>
            </w:r>
          </w:p>
        </w:tc>
        <w:tc>
          <w:tcPr>
            <w:tcW w:type="dxa" w:w="1661"/>
          </w:tcPr>
          <w:p>
            <w:pPr>
              <w:pStyle w:val="null3"/>
            </w:pPr>
            <w:r>
              <w:rPr>
                <w:rFonts w:ascii="仿宋_GB2312" w:hAnsi="仿宋_GB2312" w:cs="仿宋_GB2312" w:eastAsia="仿宋_GB2312"/>
              </w:rPr>
              <w:t>法人授权书.docx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 健全的财务会计制度：</w:t>
            </w:r>
          </w:p>
        </w:tc>
        <w:tc>
          <w:tcPr>
            <w:tcW w:type="dxa" w:w="3322"/>
          </w:tcPr>
          <w:p>
            <w:pPr>
              <w:pStyle w:val="null3"/>
            </w:pPr>
            <w:r>
              <w:rPr>
                <w:rFonts w:ascii="仿宋_GB2312" w:hAnsi="仿宋_GB2312" w:cs="仿宋_GB2312" w:eastAsia="仿宋_GB2312"/>
              </w:rPr>
              <w:t>（二）财务状况报告（任选其一）：1、提供 2023 年度经审计的财务会计报告（至少包括审计报 告、资产负债表和利润表，成立时间至提交投标文件截止时间不足一 年的可提供成立后任意时段的资产 负债表）；2、或提供投标人基本存 款账户信息及开标日期前三个月内其基本存款账户开户银行出具的资信证明。3 财政部门认可的政府采购专业担保机构出具的投标担保函 （以上三种形式的资料提供任何一 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 保障资金的良好记录：</w:t>
            </w:r>
          </w:p>
        </w:tc>
        <w:tc>
          <w:tcPr>
            <w:tcW w:type="dxa" w:w="3322"/>
          </w:tcPr>
          <w:p>
            <w:pPr>
              <w:pStyle w:val="null3"/>
            </w:pPr>
            <w:r>
              <w:rPr>
                <w:rFonts w:ascii="仿宋_GB2312" w:hAnsi="仿宋_GB2312" w:cs="仿宋_GB2312" w:eastAsia="仿宋_GB2312"/>
              </w:rPr>
              <w:t>3.1、社会保障资金缴纳证明：提供开标前一年内已缴纳至少三个月的社会保障资金缴存单据或社保机构开具的社会保险参保缴 费情况证明，单据或证明上应有社保机构或代收机构的公章或业务专用章。依法不需要缴纳社会保障资金的投标人应提供相关文件证明。 3.2、税收缴纳证明：提供开标前一年内已缴纳的至少三个月的纳税证明或完税证明，纳税证明或完税证明上应有代收机构或税务机关的公章或业务专用章。依法免税的投标人应提供相关文件证明。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三年内，在经营活动中没有重大违法记录：提供书面声明（原件）。以及未被列入失信被执行人、重大税收违法案件当事人名单、政府采购严重违法失信行为记录名单的书面声明。同时附投标人在“信用中国 ”和“ 中国政府采购网 ”网站上的信用查询 结果。</w:t>
            </w:r>
          </w:p>
        </w:tc>
        <w:tc>
          <w:tcPr>
            <w:tcW w:type="dxa" w:w="3322"/>
          </w:tcPr>
          <w:p>
            <w:pPr>
              <w:pStyle w:val="null3"/>
            </w:pPr>
            <w:r>
              <w:rPr>
                <w:rFonts w:ascii="仿宋_GB2312" w:hAnsi="仿宋_GB2312" w:cs="仿宋_GB2312" w:eastAsia="仿宋_GB2312"/>
              </w:rPr>
              <w:t>4. 无重大违法记录声明：参加本次政府采购活动前 3 年内在经营活动中没有重大违法记录，以及未被列入失信被执行人、重大税收违法案 件当事人名单、政府采购严重违法 失信行为记录名单的书面声明。以及未被列入失信被执行人、重大税收违法案件当事人名单、政府采 购严重违法失信行为记录名单的书 面声明。同时附投标人在“信用中国 ”和“ 中国政府采购网 ”网站上 的信用查询结果。</w:t>
            </w:r>
          </w:p>
        </w:tc>
        <w:tc>
          <w:tcPr>
            <w:tcW w:type="dxa" w:w="1661"/>
          </w:tcPr>
          <w:p>
            <w:pPr>
              <w:pStyle w:val="null3"/>
            </w:pPr>
            <w:r>
              <w:rPr>
                <w:rFonts w:ascii="仿宋_GB2312" w:hAnsi="仿宋_GB2312" w:cs="仿宋_GB2312" w:eastAsia="仿宋_GB2312"/>
              </w:rPr>
              <w:t>供应商无重大违法记录的书面声明格式.docx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w:t>
            </w:r>
          </w:p>
        </w:tc>
        <w:tc>
          <w:tcPr>
            <w:tcW w:type="dxa" w:w="3322"/>
          </w:tcPr>
          <w:p>
            <w:pPr>
              <w:pStyle w:val="null3"/>
            </w:pPr>
            <w:r>
              <w:rPr>
                <w:rFonts w:ascii="仿宋_GB2312" w:hAnsi="仿宋_GB2312" w:cs="仿宋_GB2312" w:eastAsia="仿宋_GB2312"/>
              </w:rPr>
              <w:t>5.1未与交叉控股股东、交叉兼任高级管理人员的公司同时参与本项目，避免涉嫌围标、串标；（格式自拟） 5.2供应商非采购人及项目代理机构员工和亲属投资开办的公司，其法人、股东、高级管理人员非采购人单位员工及亲属。采购人、代理机构和投标人之间无相互兼职的情形。 5.3供应商未在投标前3年内的招投标和政府采购活动中无以行贿手段谋取中标（成交）的行为，并承诺在本次政府采购活动中，不以向采购人、代理机构、评审人员提供利益和好处谋取中标（成交）。（格式自拟） 5.4供应商具有履行本合同所必需的设备和专业技术能力的说明及承诺。 5.5供应商未被列入市卫健系统或西安市第三医院“黑名单”。（格式自拟）</w:t>
            </w:r>
          </w:p>
        </w:tc>
        <w:tc>
          <w:tcPr>
            <w:tcW w:type="dxa" w:w="1661"/>
          </w:tcPr>
          <w:p>
            <w:pPr>
              <w:pStyle w:val="null3"/>
            </w:pPr>
            <w:r>
              <w:rPr>
                <w:rFonts w:ascii="仿宋_GB2312" w:hAnsi="仿宋_GB2312" w:cs="仿宋_GB2312" w:eastAsia="仿宋_GB2312"/>
              </w:rPr>
              <w:t>非职工投资声明函.docx 供应商具有履行本合同所必需的设备和专业技术能力的说明及承诺.docx 陕西省政府采购供应商拒绝政府采购领域商业贿赂承诺书.docx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6.供应商的信用信息：6.1 查询渠道：“信用中国 ”网站（www.creditchina.gov.vn）、中国政府采购网（www.ccgp.gov.vn）；以现场查询为准。 6.2 截止时点：投标截止时间；6.3 信用信息查询记录和证据留存的具体方式：网上查询结果打印。 6.4 信用信息的使 用规则：凡在截止时点内，列入失信被执行人、重大税收违法案件当 事人名单、政府采购严重违法失信行为记录名单的供应商，其投标视 为无效投标；联合体投标时，联合体成员存在不良信用记录的，视同联合体存在不良信用记录，其投标视为无效投标。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法人授权书.docx 服务内容及服务邀请应答表 非职工投资声明函.docx 商务应答表 供应商应提交的相关资格证明材料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1.符合性检查： 1.1 投标文件的完整性审查。 1.1.1 投标文件是否按照招标文件要求的格式编写； 1.1.2 投标内容是否有重大缺漏项。 1.2 投标文件的有效性审查。 1.2.1 投标文件的签署、加盖印章是否合格、有效；提供的各种证明文件、数据、资料是否真实、有效。 1.2.2 代理商投标时，是否提交了合 格有效的货物来源渠道证明文件。 （若有） 1.2.3 是否提交了合格有效的本次采购特别要求的服务合格性证明。 （若有） 1.3 投标文件的响应性审查。 1.3.1 投标报价是否超过采购预算； 1.3.2 投标报价是否低于成本价，涉嫌不正当竞争；（如果评委会认为某投标报价明显不合理或者低于成本，应当要求其在规定期限内提供书面文件予以解释说明，并提交相 关证明材料。） 1.3.3 投标有效期是否符合招标文件的要求； 1.3.4 投标文件响应内容是否符合国家法律法规，是否实质性响应了招标文件要求的全部条款、条件和规格要求，并且提供了支持文件，没有重大偏离。对于重大偏离，在开标后不得澄清、纠正及补充。</w:t>
            </w:r>
          </w:p>
        </w:tc>
        <w:tc>
          <w:tcPr>
            <w:tcW w:type="dxa" w:w="1661"/>
          </w:tcPr>
          <w:p>
            <w:pPr>
              <w:pStyle w:val="null3"/>
            </w:pPr>
            <w:r>
              <w:rPr>
                <w:rFonts w:ascii="仿宋_GB2312" w:hAnsi="仿宋_GB2312" w:cs="仿宋_GB2312" w:eastAsia="仿宋_GB2312"/>
              </w:rPr>
              <w:t>供应商无重大违法记录的书面声明格式.docx 非职工投资声明函.docx 服务内容及服务邀请应答表 供应商具有履行本合同所必需的设备和专业技术能力的说明及承诺.docx 商务应答表 供应商应提交的相关资格证明材料 报价表 响应文件封面 法人授权书.docx 服务方案 标的清单 响应函 陕西省政府采购供应商拒绝政府采购领域商业贿赂承诺书.docx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依据磋商响应文件所提供的磋商响应服务要求的响应程度，按差别赋分：完全满足磋商文件服务要求，得满分；服务要求一项不满足，扣3分；扣完为止，不计负分。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根据响应文件提供的响应单位拟投入本项目的维保技术服务团队信息（不限于团队人员清单及配置信息、岗位设置、从业经历等），结合相关技术支持材料（人员简历、资质证书等），投标人提供本地服务的工程师应具备丰富行业经验，服务团队成员具有但 不局限于以下资质： 项目经理需具备高级信息系统项目管理师认证资格，提供一个证书得 2 分，不提供不得分。 现场服务工程师需具备中级及以上网络工程师认证资格，提供一个证书 得 2 分，不提供不得分。 二线运维专家团队工程师需提供以下资质证书，每提供一个证书得 1 分，不提供不得分：1.高级网络工程师认证证书；2.中级安全工程 师认证证书； 3.网络存储认证证书；4.高级服务器架构师 RHCA；注：未提供服务团队本项不得分。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根据投标人的技术服务方案（包括预防性维护、服务响应方式、服务响应时间、本地服务网点等）定期巡检、远程诊断、现场服务、响应时间进行综合评价：完全符合或优于磋商要求的，得 12 分，基本满足磋商要求的，得8，基本满足磋商文件要求，但存在瑕疵的，由磋商小组成员横向比较，根据情况酌情得 4分，差或没有不得分。 注：未提供实施方案本项不得分。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根据响应文件提供的培训方案，包括但不限于完整可行的、明确的培训计划、形式、时间、地点、人员以及培训内容情况，自主赋分：1.培训方案详细完整，得 6 分；2.培训方案较为完整，得 3 分；3.培训方案不够完整，得 1 分；4.未提供培训方案，得 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项目管理和质量保证</w:t>
            </w:r>
          </w:p>
        </w:tc>
        <w:tc>
          <w:tcPr>
            <w:tcW w:type="dxa" w:w="2492"/>
          </w:tcPr>
          <w:p>
            <w:pPr>
              <w:pStyle w:val="null3"/>
            </w:pPr>
            <w:r>
              <w:rPr>
                <w:rFonts w:ascii="仿宋_GB2312" w:hAnsi="仿宋_GB2312" w:cs="仿宋_GB2312" w:eastAsia="仿宋_GB2312"/>
              </w:rPr>
              <w:t>根据投标文件所提供的项目管理和质量保证方案（包括但不限于本地服务能力、项目所在地备件库证明材料、备机备件证明 文件及清单、备件库在本市的房屋产权证明或房屋 租赁合同等）详细程度及备件送达项目现场时间，自主赋 0-6 分：响应方案详细，备件30分钟内到达，得4-6分，响应方案详细，备件1小时 内到达，得3-5分，响应方案一般，备件2小时内到达，得1-2分，无响应方案或备件到达时间超过2小时，不得分。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提供服务范围内网络系统软硬件制订应急处置方案。评估运维中可能发 生的突发状况，并制定相应的应急预案，同时针对本项目应建立完善的运行维护管理体系，提供强 大的运行维护管理工具和手段，确保系统运行可靠、稳定，保证运维工作有序推进，按响应程度优 得4-6分，良得3-5分，一般得1-4分，差或没有不得分。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根据响应文件提供的能够明确提出医院与本项目相关信息化建设方面的合理化建议，从建议内容的前瞻性、合理性、可行性等方面进行综合评审、排序， 自主赋0-5分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综合实力</w:t>
            </w:r>
          </w:p>
        </w:tc>
        <w:tc>
          <w:tcPr>
            <w:tcW w:type="dxa" w:w="2492"/>
          </w:tcPr>
          <w:p>
            <w:pPr>
              <w:pStyle w:val="null3"/>
            </w:pPr>
            <w:r>
              <w:rPr>
                <w:rFonts w:ascii="仿宋_GB2312" w:hAnsi="仿宋_GB2312" w:cs="仿宋_GB2312" w:eastAsia="仿宋_GB2312"/>
              </w:rPr>
              <w:t>需提供以下资质，不提供不得分，全部提供得12分。1.信息安全管理体系认证证书：ISO/IEC27001，1分； 2.信息技术服务运行维护标准三级及以上符合性证书（ITSS），3分；3.信息技术服务管理认证证书：ISO/IEC20000，1分； 4.业务连续性管理体系认证证书：ISO22301 :2019，2 分；5.质量管理体系认证证书： ISO9001，1分；6.无线设备生产厂商原厂 授权书，2分；7.无线设备生产厂商对本 项目的售后服务承诺书，2 分；注：以上所有证明文件，均为复印件加盖投标人公章</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满足磋商文件全部商务条款得5分，一项不满足本项不得分。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提供2022年1月（以合同签订时间为准）至今同行业同类维保项目业绩，需提供合同复印件加盖公章，每提供1个得1分，最高得10分。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1.最低评审价为评审基准价，得10分。2.按（评审 基准价/评审价×10）的公式计算价格得分。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详见附件：法人授权书.docx</w:t>
      </w:r>
    </w:p>
    <w:p>
      <w:pPr>
        <w:pStyle w:val="null3"/>
        <w:ind w:firstLine="960"/>
      </w:pPr>
      <w:r>
        <w:rPr>
          <w:rFonts w:ascii="仿宋_GB2312" w:hAnsi="仿宋_GB2312" w:cs="仿宋_GB2312" w:eastAsia="仿宋_GB2312"/>
        </w:rPr>
        <w:t>详见附件：供应商具有履行本合同所必需的设备和专业技术能力的说明及承诺.docx</w:t>
      </w:r>
    </w:p>
    <w:p>
      <w:pPr>
        <w:pStyle w:val="null3"/>
        <w:ind w:firstLine="960"/>
      </w:pPr>
      <w:r>
        <w:rPr>
          <w:rFonts w:ascii="仿宋_GB2312" w:hAnsi="仿宋_GB2312" w:cs="仿宋_GB2312" w:eastAsia="仿宋_GB2312"/>
        </w:rPr>
        <w:t>详见附件：供应商无重大违法记录的书面声明格式.docx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详见附件：非职工投资声明函.docx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详见附件：西安市第三医院服务合同.docx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