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版本号：0617-2521XZ068520250418001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挑战杯大学生课外学术科技作品竞赛训练营项目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0617-2521XZ0685</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挑战杯大学生课外学术科技作品竞赛训练营项目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0617-2521XZ0685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挑战杯大学生课外学术科技作品竞赛训练营项目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本项目旨在通过构建系统化、专业化的培训体系，为参与2025年“挑战杯”大学生课外学术科技作品竞赛的学生提供全方位的指导与支持，主要包括：赛事解读与选题方向、立项训练营、大赛文本撰写指导、项目路演指导，助力我院选手在竞赛中脱颖而出，取得理想的成绩，促进学校创新创业教育的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采购包1（挑战杯大学生课外学术科技作品竞赛训练营项目）：属于专门面向小微企业采购。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13892886071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收款账号：开户名称：西北（陕西）国际招标有限公司 开户银行： 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通过构建系统化、专业化的培训体系，为参与2025年“挑战杯”大学生课外学术科技作品竞赛的学生提供全方位的指导与支持，主要包括：赛事解读与选题方向、立项训练营、大赛文本撰写指导、项目路演指导，助力我院选手在竞赛中脱颖而出，取得理想的成绩，促进学校创新创业教育的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“挑战杯”大学生课外学术科技作品竞赛 训练营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标的名称：“挑战杯”大学生课外学术科技作品竞赛 训练营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rPr>
              <w:t>一</w:t>
            </w:r>
            <w:r>
              <w:rPr>
                <w:rFonts w:ascii="仿宋_GB2312" w:hAnsi="仿宋_GB2312" w:cs="仿宋_GB2312" w:eastAsia="仿宋_GB2312"/>
              </w:rPr>
              <w:t>、服务内容</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邀请行业专家、</w:t>
            </w:r>
            <w:r>
              <w:rPr>
                <w:rFonts w:ascii="仿宋_GB2312" w:hAnsi="仿宋_GB2312" w:cs="仿宋_GB2312" w:eastAsia="仿宋_GB2312"/>
              </w:rPr>
              <w:t>有参赛经验的</w:t>
            </w:r>
            <w:r>
              <w:rPr>
                <w:rFonts w:ascii="仿宋_GB2312" w:hAnsi="仿宋_GB2312" w:cs="仿宋_GB2312" w:eastAsia="仿宋_GB2312"/>
              </w:rPr>
              <w:t>学者及往届优秀获奖者，通过专题讲座、工作坊等形式，对参赛学生进行深入细致的辅导；</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组织项目策划、调研方法、数据分析、文本撰写</w:t>
            </w:r>
            <w:r>
              <w:rPr>
                <w:rFonts w:ascii="仿宋_GB2312" w:hAnsi="仿宋_GB2312" w:cs="仿宋_GB2312" w:eastAsia="仿宋_GB2312"/>
              </w:rPr>
              <w:t>、</w:t>
            </w:r>
            <w:r>
              <w:rPr>
                <w:rFonts w:ascii="仿宋_GB2312" w:hAnsi="仿宋_GB2312" w:cs="仿宋_GB2312" w:eastAsia="仿宋_GB2312"/>
              </w:rPr>
              <w:t>路演话术</w:t>
            </w:r>
            <w:r>
              <w:rPr>
                <w:rFonts w:ascii="仿宋_GB2312" w:hAnsi="仿宋_GB2312" w:cs="仿宋_GB2312" w:eastAsia="仿宋_GB2312"/>
              </w:rPr>
              <w:t>等专项培训，帮助学生构建完整的项目逻辑框架；</w:t>
            </w:r>
          </w:p>
          <w:p>
            <w:pPr>
              <w:pStyle w:val="null3"/>
              <w:ind w:firstLine="560"/>
              <w:jc w:val="both"/>
            </w:pPr>
            <w:r>
              <w:rPr>
                <w:rFonts w:ascii="仿宋_GB2312" w:hAnsi="仿宋_GB2312" w:cs="仿宋_GB2312" w:eastAsia="仿宋_GB2312"/>
              </w:rPr>
              <w:t>3.</w:t>
            </w:r>
            <w:r>
              <w:rPr>
                <w:rFonts w:ascii="仿宋_GB2312" w:hAnsi="仿宋_GB2312" w:cs="仿宋_GB2312" w:eastAsia="仿宋_GB2312"/>
              </w:rPr>
              <w:t>模拟竞赛环境，开展实战演练，提升学生的应变能力和团队协作能力；</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提供一对一辅导和跟踪服务，确保每个项目都能得到充分的关注和支持。</w:t>
            </w:r>
          </w:p>
          <w:p>
            <w:pPr>
              <w:pStyle w:val="null3"/>
              <w:jc w:val="both"/>
            </w:pPr>
            <w:r>
              <w:rPr>
                <w:rFonts w:ascii="仿宋_GB2312" w:hAnsi="仿宋_GB2312" w:cs="仿宋_GB2312" w:eastAsia="仿宋_GB2312"/>
              </w:rPr>
              <w:t>二</w:t>
            </w:r>
            <w:r>
              <w:rPr>
                <w:rFonts w:ascii="仿宋_GB2312" w:hAnsi="仿宋_GB2312" w:cs="仿宋_GB2312" w:eastAsia="仿宋_GB2312"/>
              </w:rPr>
              <w:t>、技术要求</w:t>
            </w:r>
          </w:p>
          <w:p>
            <w:pPr>
              <w:pStyle w:val="null3"/>
              <w:ind w:firstLine="560"/>
              <w:jc w:val="both"/>
            </w:pPr>
            <w:r>
              <w:rPr>
                <w:rFonts w:ascii="仿宋_GB2312" w:hAnsi="仿宋_GB2312" w:cs="仿宋_GB2312" w:eastAsia="仿宋_GB2312"/>
              </w:rPr>
              <w:t>以项目规定要求为准。</w:t>
            </w:r>
          </w:p>
          <w:p>
            <w:pPr>
              <w:pStyle w:val="null3"/>
              <w:jc w:val="both"/>
            </w:pPr>
            <w:r>
              <w:rPr>
                <w:rFonts w:ascii="仿宋_GB2312" w:hAnsi="仿宋_GB2312" w:cs="仿宋_GB2312" w:eastAsia="仿宋_GB2312"/>
              </w:rPr>
              <w:t>三</w:t>
            </w:r>
            <w:r>
              <w:rPr>
                <w:rFonts w:ascii="仿宋_GB2312" w:hAnsi="仿宋_GB2312" w:cs="仿宋_GB2312" w:eastAsia="仿宋_GB2312"/>
              </w:rPr>
              <w:t>、服务要求</w:t>
            </w:r>
          </w:p>
          <w:tbl>
            <w:tblPr>
              <w:tblBorders>
                <w:top w:val="none" w:color="000000" w:sz="4"/>
                <w:left w:val="none" w:color="000000" w:sz="4"/>
                <w:bottom w:val="none" w:color="000000" w:sz="4"/>
                <w:right w:val="none" w:color="000000" w:sz="4"/>
                <w:insideH w:val="none"/>
                <w:insideV w:val="none"/>
              </w:tblBorders>
            </w:tblPr>
            <w:tblGrid>
              <w:gridCol w:w="373"/>
              <w:gridCol w:w="773"/>
              <w:gridCol w:w="713"/>
            </w:tblGrid>
            <w:tr>
              <w:tc>
                <w:tcPr>
                  <w:tcW w:type="dxa" w:w="3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课程模块</w:t>
                  </w:r>
                </w:p>
              </w:tc>
              <w:tc>
                <w:tcPr>
                  <w:tcW w:type="dxa" w:w="7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内容简介</w:t>
                  </w:r>
                </w:p>
              </w:tc>
              <w:tc>
                <w:tcPr>
                  <w:tcW w:type="dxa" w:w="71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参数</w:t>
                  </w:r>
                </w:p>
              </w:tc>
            </w:tr>
            <w:tr>
              <w:tc>
                <w:tcPr>
                  <w:tcW w:type="dxa" w:w="3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校赛启动会</w:t>
                  </w:r>
                  <w:r>
                    <w:rPr>
                      <w:rFonts w:ascii="仿宋_GB2312" w:hAnsi="仿宋_GB2312" w:cs="仿宋_GB2312" w:eastAsia="仿宋_GB2312"/>
                      <w:sz w:val="19"/>
                    </w:rPr>
                    <w:t>（</w:t>
                  </w:r>
                  <w:r>
                    <w:rPr>
                      <w:rFonts w:ascii="仿宋_GB2312" w:hAnsi="仿宋_GB2312" w:cs="仿宋_GB2312" w:eastAsia="仿宋_GB2312"/>
                      <w:sz w:val="19"/>
                    </w:rPr>
                    <w:t>讲座</w:t>
                  </w:r>
                  <w:r>
                    <w:rPr>
                      <w:rFonts w:ascii="仿宋_GB2312" w:hAnsi="仿宋_GB2312" w:cs="仿宋_GB2312" w:eastAsia="仿宋_GB2312"/>
                      <w:sz w:val="19"/>
                    </w:rPr>
                    <w:t>）</w:t>
                  </w:r>
                </w:p>
              </w:tc>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通过对过往大赛解析，让项目团队了解大赛赛制、评审规则、项目筹备方向及项目准备的着手点。</w:t>
                  </w:r>
                </w:p>
              </w:tc>
              <w:tc>
                <w:tcPr>
                  <w:tcW w:type="dxa" w:w="7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1.</w:t>
                  </w:r>
                  <w:r>
                    <w:rPr>
                      <w:rFonts w:ascii="仿宋_GB2312" w:hAnsi="仿宋_GB2312" w:cs="仿宋_GB2312" w:eastAsia="仿宋_GB2312"/>
                      <w:sz w:val="19"/>
                    </w:rPr>
                    <w:t>导师数：</w:t>
                  </w:r>
                  <w:r>
                    <w:rPr>
                      <w:rFonts w:ascii="仿宋_GB2312" w:hAnsi="仿宋_GB2312" w:cs="仿宋_GB2312" w:eastAsia="仿宋_GB2312"/>
                      <w:sz w:val="19"/>
                    </w:rPr>
                    <w:t>1</w:t>
                  </w:r>
                  <w:r>
                    <w:rPr>
                      <w:rFonts w:ascii="仿宋_GB2312" w:hAnsi="仿宋_GB2312" w:cs="仿宋_GB2312" w:eastAsia="仿宋_GB2312"/>
                      <w:sz w:val="19"/>
                    </w:rPr>
                    <w:t>人；</w:t>
                  </w:r>
                  <w:r>
                    <w:br/>
                  </w:r>
                  <w:r>
                    <w:rPr>
                      <w:rFonts w:ascii="仿宋_GB2312" w:hAnsi="仿宋_GB2312" w:cs="仿宋_GB2312" w:eastAsia="仿宋_GB2312"/>
                      <w:sz w:val="19"/>
                    </w:rPr>
                    <w:t>2.</w:t>
                  </w:r>
                  <w:r>
                    <w:rPr>
                      <w:rFonts w:ascii="仿宋_GB2312" w:hAnsi="仿宋_GB2312" w:cs="仿宋_GB2312" w:eastAsia="仿宋_GB2312"/>
                      <w:sz w:val="19"/>
                    </w:rPr>
                    <w:t>讲座及答疑时长：半天</w:t>
                  </w:r>
                </w:p>
              </w:tc>
            </w:tr>
            <w:tr>
              <w:tc>
                <w:tcPr>
                  <w:tcW w:type="dxa" w:w="37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学生培训</w:t>
                  </w:r>
                </w:p>
              </w:tc>
              <w:tc>
                <w:tcPr>
                  <w:tcW w:type="dxa" w:w="77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了解大赛和大赛项目的具体要求，对问题互动解答，从行业角度剖析大赛，跳出大赛分析大赛。</w:t>
                  </w:r>
                </w:p>
              </w:tc>
              <w:tc>
                <w:tcPr>
                  <w:tcW w:type="dxa" w:w="7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1.</w:t>
                  </w:r>
                  <w:r>
                    <w:rPr>
                      <w:rFonts w:ascii="仿宋_GB2312" w:hAnsi="仿宋_GB2312" w:cs="仿宋_GB2312" w:eastAsia="仿宋_GB2312"/>
                      <w:sz w:val="19"/>
                    </w:rPr>
                    <w:t>导师数：</w:t>
                  </w:r>
                  <w:r>
                    <w:rPr>
                      <w:rFonts w:ascii="仿宋_GB2312" w:hAnsi="仿宋_GB2312" w:cs="仿宋_GB2312" w:eastAsia="仿宋_GB2312"/>
                      <w:sz w:val="19"/>
                    </w:rPr>
                    <w:t>1</w:t>
                  </w:r>
                  <w:r>
                    <w:rPr>
                      <w:rFonts w:ascii="仿宋_GB2312" w:hAnsi="仿宋_GB2312" w:cs="仿宋_GB2312" w:eastAsia="仿宋_GB2312"/>
                      <w:sz w:val="19"/>
                    </w:rPr>
                    <w:t>人；</w:t>
                  </w:r>
                  <w:r>
                    <w:br/>
                  </w:r>
                  <w:r>
                    <w:rPr>
                      <w:rFonts w:ascii="仿宋_GB2312" w:hAnsi="仿宋_GB2312" w:cs="仿宋_GB2312" w:eastAsia="仿宋_GB2312"/>
                      <w:sz w:val="19"/>
                    </w:rPr>
                    <w:t>2.</w:t>
                  </w:r>
                  <w:r>
                    <w:rPr>
                      <w:rFonts w:ascii="仿宋_GB2312" w:hAnsi="仿宋_GB2312" w:cs="仿宋_GB2312" w:eastAsia="仿宋_GB2312"/>
                      <w:sz w:val="19"/>
                    </w:rPr>
                    <w:t>时长：</w:t>
                  </w:r>
                  <w:r>
                    <w:rPr>
                      <w:rFonts w:ascii="仿宋_GB2312" w:hAnsi="仿宋_GB2312" w:cs="仿宋_GB2312" w:eastAsia="仿宋_GB2312"/>
                      <w:sz w:val="19"/>
                    </w:rPr>
                    <w:t>120</w:t>
                  </w:r>
                  <w:r>
                    <w:rPr>
                      <w:rFonts w:ascii="仿宋_GB2312" w:hAnsi="仿宋_GB2312" w:cs="仿宋_GB2312" w:eastAsia="仿宋_GB2312"/>
                      <w:sz w:val="19"/>
                    </w:rPr>
                    <w:t>分钟</w:t>
                  </w:r>
                </w:p>
              </w:tc>
            </w:tr>
            <w:tr>
              <w:tc>
                <w:tcPr>
                  <w:tcW w:type="dxa" w:w="373"/>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1.</w:t>
                  </w:r>
                  <w:r>
                    <w:rPr>
                      <w:rFonts w:ascii="仿宋_GB2312" w:hAnsi="仿宋_GB2312" w:cs="仿宋_GB2312" w:eastAsia="仿宋_GB2312"/>
                      <w:sz w:val="19"/>
                    </w:rPr>
                    <w:t>导师数：</w:t>
                  </w:r>
                  <w:r>
                    <w:rPr>
                      <w:rFonts w:ascii="仿宋_GB2312" w:hAnsi="仿宋_GB2312" w:cs="仿宋_GB2312" w:eastAsia="仿宋_GB2312"/>
                      <w:sz w:val="19"/>
                    </w:rPr>
                    <w:t>1</w:t>
                  </w:r>
                  <w:r>
                    <w:rPr>
                      <w:rFonts w:ascii="仿宋_GB2312" w:hAnsi="仿宋_GB2312" w:cs="仿宋_GB2312" w:eastAsia="仿宋_GB2312"/>
                      <w:sz w:val="19"/>
                    </w:rPr>
                    <w:t>人；</w:t>
                  </w:r>
                  <w:r>
                    <w:br/>
                  </w:r>
                  <w:r>
                    <w:rPr>
                      <w:rFonts w:ascii="仿宋_GB2312" w:hAnsi="仿宋_GB2312" w:cs="仿宋_GB2312" w:eastAsia="仿宋_GB2312"/>
                      <w:sz w:val="19"/>
                    </w:rPr>
                    <w:t>2.</w:t>
                  </w:r>
                  <w:r>
                    <w:rPr>
                      <w:rFonts w:ascii="仿宋_GB2312" w:hAnsi="仿宋_GB2312" w:cs="仿宋_GB2312" w:eastAsia="仿宋_GB2312"/>
                      <w:sz w:val="19"/>
                    </w:rPr>
                    <w:t>时长：半天</w:t>
                  </w:r>
                </w:p>
              </w:tc>
            </w:tr>
            <w:tr>
              <w:tc>
                <w:tcPr>
                  <w:tcW w:type="dxa" w:w="3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立项训练营</w:t>
                  </w:r>
                </w:p>
              </w:tc>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不仅是服务参赛高校丰富赛事项目数量，更是专注提升种子赛项的质量。通过本营的训练，建立项目制的教学模式，达到</w:t>
                  </w:r>
                  <w:r>
                    <w:rPr>
                      <w:rFonts w:ascii="仿宋_GB2312" w:hAnsi="仿宋_GB2312" w:cs="仿宋_GB2312" w:eastAsia="仿宋_GB2312"/>
                      <w:sz w:val="19"/>
                    </w:rPr>
                    <w:t>"</w:t>
                  </w:r>
                  <w:r>
                    <w:rPr>
                      <w:rFonts w:ascii="仿宋_GB2312" w:hAnsi="仿宋_GB2312" w:cs="仿宋_GB2312" w:eastAsia="仿宋_GB2312"/>
                      <w:sz w:val="19"/>
                    </w:rPr>
                    <w:t>以赛促教、以赛促学</w:t>
                  </w:r>
                  <w:r>
                    <w:rPr>
                      <w:rFonts w:ascii="仿宋_GB2312" w:hAnsi="仿宋_GB2312" w:cs="仿宋_GB2312" w:eastAsia="仿宋_GB2312"/>
                      <w:sz w:val="19"/>
                    </w:rPr>
                    <w:t>"</w:t>
                  </w:r>
                  <w:r>
                    <w:rPr>
                      <w:rFonts w:ascii="仿宋_GB2312" w:hAnsi="仿宋_GB2312" w:cs="仿宋_GB2312" w:eastAsia="仿宋_GB2312"/>
                      <w:sz w:val="19"/>
                    </w:rPr>
                    <w:t>的目的。通过创新分析与工程应用对标明确项目定位，提炼核心价值。</w:t>
                  </w:r>
                </w:p>
              </w:tc>
              <w:tc>
                <w:tcPr>
                  <w:tcW w:type="dxa" w:w="7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1.</w:t>
                  </w:r>
                  <w:r>
                    <w:rPr>
                      <w:rFonts w:ascii="仿宋_GB2312" w:hAnsi="仿宋_GB2312" w:cs="仿宋_GB2312" w:eastAsia="仿宋_GB2312"/>
                      <w:sz w:val="19"/>
                    </w:rPr>
                    <w:t>开营讲座：开题</w:t>
                  </w:r>
                  <w:r>
                    <w:rPr>
                      <w:rFonts w:ascii="仿宋_GB2312" w:hAnsi="仿宋_GB2312" w:cs="仿宋_GB2312" w:eastAsia="仿宋_GB2312"/>
                      <w:sz w:val="19"/>
                    </w:rPr>
                    <w:t>+</w:t>
                  </w:r>
                  <w:r>
                    <w:rPr>
                      <w:rFonts w:ascii="仿宋_GB2312" w:hAnsi="仿宋_GB2312" w:cs="仿宋_GB2312" w:eastAsia="仿宋_GB2312"/>
                      <w:sz w:val="19"/>
                    </w:rPr>
                    <w:t>解析</w:t>
                  </w:r>
                  <w:r>
                    <w:rPr>
                      <w:rFonts w:ascii="仿宋_GB2312" w:hAnsi="仿宋_GB2312" w:cs="仿宋_GB2312" w:eastAsia="仿宋_GB2312"/>
                      <w:sz w:val="19"/>
                    </w:rPr>
                    <w:t>+</w:t>
                  </w:r>
                  <w:r>
                    <w:rPr>
                      <w:rFonts w:ascii="仿宋_GB2312" w:hAnsi="仿宋_GB2312" w:cs="仿宋_GB2312" w:eastAsia="仿宋_GB2312"/>
                      <w:sz w:val="19"/>
                    </w:rPr>
                    <w:t>结论</w:t>
                  </w:r>
                  <w:r>
                    <w:br/>
                  </w:r>
                  <w:r>
                    <w:rPr>
                      <w:rFonts w:ascii="仿宋_GB2312" w:hAnsi="仿宋_GB2312" w:cs="仿宋_GB2312" w:eastAsia="仿宋_GB2312"/>
                      <w:sz w:val="19"/>
                    </w:rPr>
                    <w:t>时长：</w:t>
                  </w:r>
                  <w:r>
                    <w:rPr>
                      <w:rFonts w:ascii="仿宋_GB2312" w:hAnsi="仿宋_GB2312" w:cs="仿宋_GB2312" w:eastAsia="仿宋_GB2312"/>
                      <w:sz w:val="19"/>
                    </w:rPr>
                    <w:t>100</w:t>
                  </w:r>
                  <w:r>
                    <w:rPr>
                      <w:rFonts w:ascii="仿宋_GB2312" w:hAnsi="仿宋_GB2312" w:cs="仿宋_GB2312" w:eastAsia="仿宋_GB2312"/>
                      <w:sz w:val="19"/>
                    </w:rPr>
                    <w:t>分钟；</w:t>
                  </w:r>
                  <w:r>
                    <w:br/>
                  </w:r>
                  <w:r>
                    <w:rPr>
                      <w:rFonts w:ascii="仿宋_GB2312" w:hAnsi="仿宋_GB2312" w:cs="仿宋_GB2312" w:eastAsia="仿宋_GB2312"/>
                      <w:sz w:val="19"/>
                    </w:rPr>
                    <w:t>导师：</w:t>
                  </w:r>
                  <w:r>
                    <w:rPr>
                      <w:rFonts w:ascii="仿宋_GB2312" w:hAnsi="仿宋_GB2312" w:cs="仿宋_GB2312" w:eastAsia="仿宋_GB2312"/>
                      <w:sz w:val="19"/>
                    </w:rPr>
                    <w:t>1</w:t>
                  </w:r>
                  <w:r>
                    <w:rPr>
                      <w:rFonts w:ascii="仿宋_GB2312" w:hAnsi="仿宋_GB2312" w:cs="仿宋_GB2312" w:eastAsia="仿宋_GB2312"/>
                      <w:sz w:val="19"/>
                    </w:rPr>
                    <w:t>人</w:t>
                  </w:r>
                  <w:r>
                    <w:br/>
                  </w:r>
                  <w:r>
                    <w:rPr>
                      <w:rFonts w:ascii="仿宋_GB2312" w:hAnsi="仿宋_GB2312" w:cs="仿宋_GB2312" w:eastAsia="仿宋_GB2312"/>
                      <w:sz w:val="19"/>
                    </w:rPr>
                    <w:t>2.</w:t>
                  </w:r>
                  <w:r>
                    <w:rPr>
                      <w:rFonts w:ascii="仿宋_GB2312" w:hAnsi="仿宋_GB2312" w:cs="仿宋_GB2312" w:eastAsia="仿宋_GB2312"/>
                      <w:sz w:val="19"/>
                    </w:rPr>
                    <w:t>创新设计：方法、方向（课程、案例、仿写）</w:t>
                  </w:r>
                  <w:r>
                    <w:br/>
                  </w:r>
                  <w:r>
                    <w:rPr>
                      <w:rFonts w:ascii="仿宋_GB2312" w:hAnsi="仿宋_GB2312" w:cs="仿宋_GB2312" w:eastAsia="仿宋_GB2312"/>
                      <w:sz w:val="19"/>
                    </w:rPr>
                    <w:t>时长：</w:t>
                  </w:r>
                  <w:r>
                    <w:rPr>
                      <w:rFonts w:ascii="仿宋_GB2312" w:hAnsi="仿宋_GB2312" w:cs="仿宋_GB2312" w:eastAsia="仿宋_GB2312"/>
                      <w:sz w:val="19"/>
                    </w:rPr>
                    <w:t>100</w:t>
                  </w:r>
                  <w:r>
                    <w:rPr>
                      <w:rFonts w:ascii="仿宋_GB2312" w:hAnsi="仿宋_GB2312" w:cs="仿宋_GB2312" w:eastAsia="仿宋_GB2312"/>
                      <w:sz w:val="19"/>
                    </w:rPr>
                    <w:t>分钟</w:t>
                  </w:r>
                  <w:r>
                    <w:br/>
                  </w:r>
                  <w:r>
                    <w:rPr>
                      <w:rFonts w:ascii="仿宋_GB2312" w:hAnsi="仿宋_GB2312" w:cs="仿宋_GB2312" w:eastAsia="仿宋_GB2312"/>
                      <w:sz w:val="19"/>
                    </w:rPr>
                    <w:t>导师：</w:t>
                  </w:r>
                  <w:r>
                    <w:rPr>
                      <w:rFonts w:ascii="仿宋_GB2312" w:hAnsi="仿宋_GB2312" w:cs="仿宋_GB2312" w:eastAsia="仿宋_GB2312"/>
                      <w:sz w:val="19"/>
                    </w:rPr>
                    <w:t>1</w:t>
                  </w:r>
                  <w:r>
                    <w:rPr>
                      <w:rFonts w:ascii="仿宋_GB2312" w:hAnsi="仿宋_GB2312" w:cs="仿宋_GB2312" w:eastAsia="仿宋_GB2312"/>
                      <w:sz w:val="19"/>
                    </w:rPr>
                    <w:t>人</w:t>
                  </w:r>
                  <w:r>
                    <w:br/>
                  </w:r>
                  <w:r>
                    <w:rPr>
                      <w:rFonts w:ascii="仿宋_GB2312" w:hAnsi="仿宋_GB2312" w:cs="仿宋_GB2312" w:eastAsia="仿宋_GB2312"/>
                      <w:sz w:val="19"/>
                    </w:rPr>
                    <w:t>3.</w:t>
                  </w:r>
                  <w:r>
                    <w:rPr>
                      <w:rFonts w:ascii="仿宋_GB2312" w:hAnsi="仿宋_GB2312" w:cs="仿宋_GB2312" w:eastAsia="仿宋_GB2312"/>
                      <w:sz w:val="19"/>
                    </w:rPr>
                    <w:t>项目提案：导课、资源分析、提纲</w:t>
                  </w:r>
                  <w:r>
                    <w:br/>
                  </w:r>
                  <w:r>
                    <w:rPr>
                      <w:rFonts w:ascii="仿宋_GB2312" w:hAnsi="仿宋_GB2312" w:cs="仿宋_GB2312" w:eastAsia="仿宋_GB2312"/>
                      <w:sz w:val="19"/>
                    </w:rPr>
                    <w:t>时长：</w:t>
                  </w:r>
                  <w:r>
                    <w:rPr>
                      <w:rFonts w:ascii="仿宋_GB2312" w:hAnsi="仿宋_GB2312" w:cs="仿宋_GB2312" w:eastAsia="仿宋_GB2312"/>
                      <w:sz w:val="19"/>
                    </w:rPr>
                    <w:t>100</w:t>
                  </w:r>
                  <w:r>
                    <w:rPr>
                      <w:rFonts w:ascii="仿宋_GB2312" w:hAnsi="仿宋_GB2312" w:cs="仿宋_GB2312" w:eastAsia="仿宋_GB2312"/>
                      <w:sz w:val="19"/>
                    </w:rPr>
                    <w:t>分钟</w:t>
                  </w:r>
                  <w:r>
                    <w:br/>
                  </w:r>
                  <w:r>
                    <w:rPr>
                      <w:rFonts w:ascii="仿宋_GB2312" w:hAnsi="仿宋_GB2312" w:cs="仿宋_GB2312" w:eastAsia="仿宋_GB2312"/>
                      <w:sz w:val="19"/>
                    </w:rPr>
                    <w:t>导师：</w:t>
                  </w:r>
                  <w:r>
                    <w:rPr>
                      <w:rFonts w:ascii="仿宋_GB2312" w:hAnsi="仿宋_GB2312" w:cs="仿宋_GB2312" w:eastAsia="仿宋_GB2312"/>
                      <w:sz w:val="19"/>
                    </w:rPr>
                    <w:t>1</w:t>
                  </w:r>
                  <w:r>
                    <w:rPr>
                      <w:rFonts w:ascii="仿宋_GB2312" w:hAnsi="仿宋_GB2312" w:cs="仿宋_GB2312" w:eastAsia="仿宋_GB2312"/>
                      <w:sz w:val="19"/>
                    </w:rPr>
                    <w:t>人</w:t>
                  </w:r>
                  <w:r>
                    <w:br/>
                  </w:r>
                  <w:r>
                    <w:rPr>
                      <w:rFonts w:ascii="仿宋_GB2312" w:hAnsi="仿宋_GB2312" w:cs="仿宋_GB2312" w:eastAsia="仿宋_GB2312"/>
                      <w:sz w:val="19"/>
                    </w:rPr>
                    <w:t>参课人数：</w:t>
                  </w:r>
                  <w:r>
                    <w:rPr>
                      <w:rFonts w:ascii="仿宋_GB2312" w:hAnsi="仿宋_GB2312" w:cs="仿宋_GB2312" w:eastAsia="仿宋_GB2312"/>
                      <w:sz w:val="19"/>
                    </w:rPr>
                    <w:t>20</w:t>
                  </w:r>
                  <w:r>
                    <w:rPr>
                      <w:rFonts w:ascii="仿宋_GB2312" w:hAnsi="仿宋_GB2312" w:cs="仿宋_GB2312" w:eastAsia="仿宋_GB2312"/>
                      <w:sz w:val="19"/>
                    </w:rPr>
                    <w:t>个项目</w:t>
                  </w:r>
                </w:p>
              </w:tc>
            </w:tr>
            <w:tr>
              <w:tc>
                <w:tcPr>
                  <w:tcW w:type="dxa" w:w="3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校级决赛</w:t>
                  </w:r>
                </w:p>
              </w:tc>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校赛决赛，选派专家现场与校内老师一起对项目进行打分评审打分决出校赛奖项。</w:t>
                  </w:r>
                </w:p>
              </w:tc>
              <w:tc>
                <w:tcPr>
                  <w:tcW w:type="dxa" w:w="7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现场评审：</w:t>
                  </w:r>
                  <w:r>
                    <w:rPr>
                      <w:rFonts w:ascii="仿宋_GB2312" w:hAnsi="仿宋_GB2312" w:cs="仿宋_GB2312" w:eastAsia="仿宋_GB2312"/>
                      <w:sz w:val="19"/>
                    </w:rPr>
                    <w:t>1</w:t>
                  </w:r>
                  <w:r>
                    <w:rPr>
                      <w:rFonts w:ascii="仿宋_GB2312" w:hAnsi="仿宋_GB2312" w:cs="仿宋_GB2312" w:eastAsia="仿宋_GB2312"/>
                      <w:sz w:val="19"/>
                    </w:rPr>
                    <w:t>天</w:t>
                  </w:r>
                  <w:r>
                    <w:br/>
                  </w:r>
                  <w:r>
                    <w:rPr>
                      <w:rFonts w:ascii="仿宋_GB2312" w:hAnsi="仿宋_GB2312" w:cs="仿宋_GB2312" w:eastAsia="仿宋_GB2312"/>
                      <w:sz w:val="19"/>
                    </w:rPr>
                    <w:t>导师数：</w:t>
                  </w:r>
                  <w:r>
                    <w:rPr>
                      <w:rFonts w:ascii="仿宋_GB2312" w:hAnsi="仿宋_GB2312" w:cs="仿宋_GB2312" w:eastAsia="仿宋_GB2312"/>
                      <w:sz w:val="19"/>
                    </w:rPr>
                    <w:t>4</w:t>
                  </w:r>
                  <w:r>
                    <w:rPr>
                      <w:rFonts w:ascii="仿宋_GB2312" w:hAnsi="仿宋_GB2312" w:cs="仿宋_GB2312" w:eastAsia="仿宋_GB2312"/>
                      <w:sz w:val="19"/>
                    </w:rPr>
                    <w:t>人</w:t>
                  </w:r>
                </w:p>
              </w:tc>
            </w:tr>
            <w:tr>
              <w:tc>
                <w:tcPr>
                  <w:tcW w:type="dxa" w:w="37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备赛</w:t>
                  </w:r>
                  <w:r>
                    <w:rPr>
                      <w:rFonts w:ascii="仿宋_GB2312" w:hAnsi="仿宋_GB2312" w:cs="仿宋_GB2312" w:eastAsia="仿宋_GB2312"/>
                      <w:sz w:val="19"/>
                    </w:rPr>
                    <w:t>训练营</w:t>
                  </w:r>
                </w:p>
              </w:tc>
              <w:tc>
                <w:tcPr>
                  <w:tcW w:type="dxa" w:w="77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与校内项目导师和项目团队</w:t>
                  </w:r>
                  <w:r>
                    <w:rPr>
                      <w:rFonts w:ascii="仿宋_GB2312" w:hAnsi="仿宋_GB2312" w:cs="仿宋_GB2312" w:eastAsia="仿宋_GB2312"/>
                      <w:sz w:val="19"/>
                    </w:rPr>
                    <w:t>成员</w:t>
                  </w:r>
                  <w:r>
                    <w:rPr>
                      <w:rFonts w:ascii="仿宋_GB2312" w:hAnsi="仿宋_GB2312" w:cs="仿宋_GB2312" w:eastAsia="仿宋_GB2312"/>
                      <w:sz w:val="19"/>
                    </w:rPr>
                    <w:t>一起研讨</w:t>
                  </w:r>
                  <w:r>
                    <w:rPr>
                      <w:rFonts w:ascii="仿宋_GB2312" w:hAnsi="仿宋_GB2312" w:cs="仿宋_GB2312" w:eastAsia="仿宋_GB2312"/>
                      <w:sz w:val="19"/>
                    </w:rPr>
                    <w:t>比赛现场</w:t>
                  </w:r>
                  <w:r>
                    <w:rPr>
                      <w:rFonts w:ascii="仿宋_GB2312" w:hAnsi="仿宋_GB2312" w:cs="仿宋_GB2312" w:eastAsia="仿宋_GB2312"/>
                      <w:sz w:val="19"/>
                    </w:rPr>
                    <w:t>需呈现的重要信息及部分详细资料</w:t>
                  </w:r>
                  <w:r>
                    <w:rPr>
                      <w:rFonts w:ascii="仿宋_GB2312" w:hAnsi="仿宋_GB2312" w:cs="仿宋_GB2312" w:eastAsia="仿宋_GB2312"/>
                      <w:sz w:val="19"/>
                    </w:rPr>
                    <w:t>。</w:t>
                  </w:r>
                </w:p>
                <w:p>
                  <w:pPr>
                    <w:pStyle w:val="null3"/>
                    <w:ind w:firstLine="560"/>
                    <w:jc w:val="both"/>
                  </w:pPr>
                  <w:r>
                    <w:rPr>
                      <w:rFonts w:ascii="仿宋_GB2312" w:hAnsi="仿宋_GB2312" w:cs="仿宋_GB2312" w:eastAsia="仿宋_GB2312"/>
                      <w:sz w:val="19"/>
                    </w:rPr>
                    <w:t>“</w:t>
                  </w:r>
                  <w:r>
                    <w:rPr>
                      <w:rFonts w:ascii="仿宋_GB2312" w:hAnsi="仿宋_GB2312" w:cs="仿宋_GB2312" w:eastAsia="仿宋_GB2312"/>
                      <w:sz w:val="19"/>
                    </w:rPr>
                    <w:t>Major+</w:t>
                  </w:r>
                  <w:r>
                    <w:rPr>
                      <w:rFonts w:ascii="仿宋_GB2312" w:hAnsi="仿宋_GB2312" w:cs="仿宋_GB2312" w:eastAsia="仿宋_GB2312"/>
                      <w:sz w:val="19"/>
                    </w:rPr>
                    <w:t>”是指</w:t>
                  </w:r>
                  <w:r>
                    <w:rPr>
                      <w:rFonts w:ascii="仿宋_GB2312" w:hAnsi="仿宋_GB2312" w:cs="仿宋_GB2312" w:eastAsia="仿宋_GB2312"/>
                      <w:sz w:val="19"/>
                    </w:rPr>
                    <w:t>1</w:t>
                  </w:r>
                  <w:r>
                    <w:rPr>
                      <w:rFonts w:ascii="仿宋_GB2312" w:hAnsi="仿宋_GB2312" w:cs="仿宋_GB2312" w:eastAsia="仿宋_GB2312"/>
                      <w:sz w:val="19"/>
                    </w:rPr>
                    <w:t>名导师在约定时间内针对一所院校的项目需求定制辅导；</w:t>
                  </w:r>
                </w:p>
                <w:p>
                  <w:pPr>
                    <w:pStyle w:val="null3"/>
                    <w:ind w:firstLine="560"/>
                    <w:jc w:val="both"/>
                  </w:pPr>
                  <w:r>
                    <w:rPr>
                      <w:rFonts w:ascii="仿宋_GB2312" w:hAnsi="仿宋_GB2312" w:cs="仿宋_GB2312" w:eastAsia="仿宋_GB2312"/>
                      <w:sz w:val="19"/>
                    </w:rPr>
                    <w:t>“</w:t>
                  </w:r>
                  <w:r>
                    <w:rPr>
                      <w:rFonts w:ascii="仿宋_GB2312" w:hAnsi="仿宋_GB2312" w:cs="仿宋_GB2312" w:eastAsia="仿宋_GB2312"/>
                      <w:sz w:val="19"/>
                    </w:rPr>
                    <w:t>Major1:1</w:t>
                  </w:r>
                  <w:r>
                    <w:rPr>
                      <w:rFonts w:ascii="仿宋_GB2312" w:hAnsi="仿宋_GB2312" w:cs="仿宋_GB2312" w:eastAsia="仿宋_GB2312"/>
                      <w:sz w:val="19"/>
                    </w:rPr>
                    <w:t>”（专项</w:t>
                  </w:r>
                  <w:r>
                    <w:rPr>
                      <w:rFonts w:ascii="仿宋_GB2312" w:hAnsi="仿宋_GB2312" w:cs="仿宋_GB2312" w:eastAsia="仿宋_GB2312"/>
                      <w:sz w:val="19"/>
                    </w:rPr>
                    <w:t>1</w:t>
                  </w:r>
                  <w:r>
                    <w:rPr>
                      <w:rFonts w:ascii="仿宋_GB2312" w:hAnsi="仿宋_GB2312" w:cs="仿宋_GB2312" w:eastAsia="仿宋_GB2312"/>
                      <w:sz w:val="19"/>
                    </w:rPr>
                    <w:t>对</w:t>
                  </w:r>
                  <w:r>
                    <w:rPr>
                      <w:rFonts w:ascii="仿宋_GB2312" w:hAnsi="仿宋_GB2312" w:cs="仿宋_GB2312" w:eastAsia="仿宋_GB2312"/>
                      <w:sz w:val="19"/>
                    </w:rPr>
                    <w:t>1</w:t>
                  </w:r>
                  <w:r>
                    <w:rPr>
                      <w:rFonts w:ascii="仿宋_GB2312" w:hAnsi="仿宋_GB2312" w:cs="仿宋_GB2312" w:eastAsia="仿宋_GB2312"/>
                      <w:sz w:val="19"/>
                    </w:rPr>
                    <w:t>专业辅导）</w:t>
                  </w:r>
                  <w:r>
                    <w:rPr>
                      <w:rFonts w:ascii="仿宋_GB2312" w:hAnsi="仿宋_GB2312" w:cs="仿宋_GB2312" w:eastAsia="仿宋_GB2312"/>
                      <w:sz w:val="19"/>
                    </w:rPr>
                    <w:t>1</w:t>
                  </w:r>
                  <w:r>
                    <w:rPr>
                      <w:rFonts w:ascii="仿宋_GB2312" w:hAnsi="仿宋_GB2312" w:cs="仿宋_GB2312" w:eastAsia="仿宋_GB2312"/>
                      <w:sz w:val="19"/>
                    </w:rPr>
                    <w:t>名导师在约定时间内仅针对某个项目的需求定制辅导。</w:t>
                  </w:r>
                </w:p>
              </w:tc>
              <w:tc>
                <w:tcPr>
                  <w:tcW w:type="dxa" w:w="7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Major+</w:t>
                  </w:r>
                </w:p>
                <w:p>
                  <w:pPr>
                    <w:pStyle w:val="null3"/>
                    <w:ind w:firstLine="560"/>
                    <w:jc w:val="both"/>
                  </w:pPr>
                  <w:r>
                    <w:rPr>
                      <w:rFonts w:ascii="仿宋_GB2312" w:hAnsi="仿宋_GB2312" w:cs="仿宋_GB2312" w:eastAsia="仿宋_GB2312"/>
                      <w:sz w:val="19"/>
                    </w:rPr>
                    <w:t>项目数：</w:t>
                  </w:r>
                  <w:r>
                    <w:rPr>
                      <w:rFonts w:ascii="仿宋_GB2312" w:hAnsi="仿宋_GB2312" w:cs="仿宋_GB2312" w:eastAsia="仿宋_GB2312"/>
                      <w:sz w:val="19"/>
                    </w:rPr>
                    <w:t>30</w:t>
                  </w:r>
                  <w:r>
                    <w:rPr>
                      <w:rFonts w:ascii="仿宋_GB2312" w:hAnsi="仿宋_GB2312" w:cs="仿宋_GB2312" w:eastAsia="仿宋_GB2312"/>
                      <w:sz w:val="19"/>
                    </w:rPr>
                    <w:t>项</w:t>
                  </w:r>
                </w:p>
                <w:p>
                  <w:pPr>
                    <w:pStyle w:val="null3"/>
                    <w:ind w:firstLine="560"/>
                    <w:jc w:val="both"/>
                  </w:pPr>
                  <w:r>
                    <w:rPr>
                      <w:rFonts w:ascii="仿宋_GB2312" w:hAnsi="仿宋_GB2312" w:cs="仿宋_GB2312" w:eastAsia="仿宋_GB2312"/>
                      <w:sz w:val="19"/>
                    </w:rPr>
                    <w:t>导师数：</w:t>
                  </w:r>
                  <w:r>
                    <w:rPr>
                      <w:rFonts w:ascii="仿宋_GB2312" w:hAnsi="仿宋_GB2312" w:cs="仿宋_GB2312" w:eastAsia="仿宋_GB2312"/>
                      <w:sz w:val="19"/>
                    </w:rPr>
                    <w:t>2</w:t>
                  </w:r>
                  <w:r>
                    <w:rPr>
                      <w:rFonts w:ascii="仿宋_GB2312" w:hAnsi="仿宋_GB2312" w:cs="仿宋_GB2312" w:eastAsia="仿宋_GB2312"/>
                      <w:sz w:val="19"/>
                    </w:rPr>
                    <w:t>人</w:t>
                  </w:r>
                </w:p>
                <w:p>
                  <w:pPr>
                    <w:pStyle w:val="null3"/>
                    <w:ind w:firstLine="560"/>
                    <w:jc w:val="both"/>
                  </w:pPr>
                  <w:r>
                    <w:rPr>
                      <w:rFonts w:ascii="仿宋_GB2312" w:hAnsi="仿宋_GB2312" w:cs="仿宋_GB2312" w:eastAsia="仿宋_GB2312"/>
                      <w:sz w:val="19"/>
                    </w:rPr>
                    <w:t>现场服务：</w:t>
                  </w:r>
                  <w:r>
                    <w:rPr>
                      <w:rFonts w:ascii="仿宋_GB2312" w:hAnsi="仿宋_GB2312" w:cs="仿宋_GB2312" w:eastAsia="仿宋_GB2312"/>
                      <w:sz w:val="19"/>
                    </w:rPr>
                    <w:t>1</w:t>
                  </w:r>
                  <w:r>
                    <w:rPr>
                      <w:rFonts w:ascii="仿宋_GB2312" w:hAnsi="仿宋_GB2312" w:cs="仿宋_GB2312" w:eastAsia="仿宋_GB2312"/>
                      <w:sz w:val="19"/>
                    </w:rPr>
                    <w:t>次</w:t>
                  </w:r>
                </w:p>
                <w:p>
                  <w:pPr>
                    <w:pStyle w:val="null3"/>
                    <w:ind w:firstLine="560"/>
                    <w:jc w:val="both"/>
                  </w:pPr>
                  <w:r>
                    <w:rPr>
                      <w:rFonts w:ascii="仿宋_GB2312" w:hAnsi="仿宋_GB2312" w:cs="仿宋_GB2312" w:eastAsia="仿宋_GB2312"/>
                      <w:sz w:val="19"/>
                    </w:rPr>
                    <w:t>辅导标准：</w:t>
                  </w:r>
                  <w:r>
                    <w:rPr>
                      <w:rFonts w:ascii="仿宋_GB2312" w:hAnsi="仿宋_GB2312" w:cs="仿宋_GB2312" w:eastAsia="仿宋_GB2312"/>
                      <w:sz w:val="19"/>
                    </w:rPr>
                    <w:t>3.5</w:t>
                  </w:r>
                  <w:r>
                    <w:rPr>
                      <w:rFonts w:ascii="仿宋_GB2312" w:hAnsi="仿宋_GB2312" w:cs="仿宋_GB2312" w:eastAsia="仿宋_GB2312"/>
                      <w:sz w:val="19"/>
                    </w:rPr>
                    <w:t>时</w:t>
                  </w:r>
                  <w:r>
                    <w:rPr>
                      <w:rFonts w:ascii="仿宋_GB2312" w:hAnsi="仿宋_GB2312" w:cs="仿宋_GB2312" w:eastAsia="仿宋_GB2312"/>
                      <w:sz w:val="19"/>
                    </w:rPr>
                    <w:t>/</w:t>
                  </w:r>
                  <w:r>
                    <w:rPr>
                      <w:rFonts w:ascii="仿宋_GB2312" w:hAnsi="仿宋_GB2312" w:cs="仿宋_GB2312" w:eastAsia="仿宋_GB2312"/>
                      <w:sz w:val="19"/>
                    </w:rPr>
                    <w:t>次</w:t>
                  </w:r>
                  <w:r>
                    <w:rPr>
                      <w:rFonts w:ascii="仿宋_GB2312" w:hAnsi="仿宋_GB2312" w:cs="仿宋_GB2312" w:eastAsia="仿宋_GB2312"/>
                      <w:sz w:val="19"/>
                    </w:rPr>
                    <w:t>/</w:t>
                  </w:r>
                  <w:r>
                    <w:rPr>
                      <w:rFonts w:ascii="仿宋_GB2312" w:hAnsi="仿宋_GB2312" w:cs="仿宋_GB2312" w:eastAsia="仿宋_GB2312"/>
                      <w:sz w:val="19"/>
                    </w:rPr>
                    <w:t>周</w:t>
                  </w:r>
                </w:p>
                <w:p>
                  <w:pPr>
                    <w:pStyle w:val="null3"/>
                    <w:ind w:firstLine="560"/>
                    <w:jc w:val="both"/>
                  </w:pPr>
                </w:p>
              </w:tc>
            </w:tr>
            <w:tr>
              <w:tc>
                <w:tcPr>
                  <w:tcW w:type="dxa" w:w="373"/>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7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Major1:1</w:t>
                  </w:r>
                </w:p>
                <w:p>
                  <w:pPr>
                    <w:pStyle w:val="null3"/>
                    <w:ind w:firstLine="560"/>
                    <w:jc w:val="both"/>
                  </w:pPr>
                  <w:r>
                    <w:rPr>
                      <w:rFonts w:ascii="仿宋_GB2312" w:hAnsi="仿宋_GB2312" w:cs="仿宋_GB2312" w:eastAsia="仿宋_GB2312"/>
                      <w:sz w:val="19"/>
                    </w:rPr>
                    <w:t>项目数：</w:t>
                  </w:r>
                  <w:r>
                    <w:rPr>
                      <w:rFonts w:ascii="仿宋_GB2312" w:hAnsi="仿宋_GB2312" w:cs="仿宋_GB2312" w:eastAsia="仿宋_GB2312"/>
                      <w:sz w:val="19"/>
                    </w:rPr>
                    <w:t>20</w:t>
                  </w:r>
                  <w:r>
                    <w:rPr>
                      <w:rFonts w:ascii="仿宋_GB2312" w:hAnsi="仿宋_GB2312" w:cs="仿宋_GB2312" w:eastAsia="仿宋_GB2312"/>
                      <w:sz w:val="19"/>
                    </w:rPr>
                    <w:t>项</w:t>
                  </w:r>
                </w:p>
                <w:p>
                  <w:pPr>
                    <w:pStyle w:val="null3"/>
                    <w:ind w:firstLine="560"/>
                    <w:jc w:val="both"/>
                  </w:pPr>
                  <w:r>
                    <w:rPr>
                      <w:rFonts w:ascii="仿宋_GB2312" w:hAnsi="仿宋_GB2312" w:cs="仿宋_GB2312" w:eastAsia="仿宋_GB2312"/>
                      <w:sz w:val="19"/>
                    </w:rPr>
                    <w:t>导师数：</w:t>
                  </w:r>
                  <w:r>
                    <w:rPr>
                      <w:rFonts w:ascii="仿宋_GB2312" w:hAnsi="仿宋_GB2312" w:cs="仿宋_GB2312" w:eastAsia="仿宋_GB2312"/>
                      <w:sz w:val="19"/>
                    </w:rPr>
                    <w:t>2</w:t>
                  </w:r>
                  <w:r>
                    <w:rPr>
                      <w:rFonts w:ascii="仿宋_GB2312" w:hAnsi="仿宋_GB2312" w:cs="仿宋_GB2312" w:eastAsia="仿宋_GB2312"/>
                      <w:sz w:val="19"/>
                    </w:rPr>
                    <w:t>人</w:t>
                  </w:r>
                </w:p>
                <w:p>
                  <w:pPr>
                    <w:pStyle w:val="null3"/>
                    <w:ind w:firstLine="560"/>
                    <w:jc w:val="both"/>
                  </w:pPr>
                  <w:r>
                    <w:rPr>
                      <w:rFonts w:ascii="仿宋_GB2312" w:hAnsi="仿宋_GB2312" w:cs="仿宋_GB2312" w:eastAsia="仿宋_GB2312"/>
                      <w:sz w:val="19"/>
                    </w:rPr>
                    <w:t>现场服务：</w:t>
                  </w:r>
                  <w:r>
                    <w:rPr>
                      <w:rFonts w:ascii="仿宋_GB2312" w:hAnsi="仿宋_GB2312" w:cs="仿宋_GB2312" w:eastAsia="仿宋_GB2312"/>
                      <w:sz w:val="19"/>
                    </w:rPr>
                    <w:t>4</w:t>
                  </w:r>
                  <w:r>
                    <w:rPr>
                      <w:rFonts w:ascii="仿宋_GB2312" w:hAnsi="仿宋_GB2312" w:cs="仿宋_GB2312" w:eastAsia="仿宋_GB2312"/>
                      <w:sz w:val="19"/>
                    </w:rPr>
                    <w:t>次</w:t>
                  </w:r>
                </w:p>
                <w:p>
                  <w:pPr>
                    <w:pStyle w:val="null3"/>
                    <w:ind w:firstLine="560"/>
                    <w:jc w:val="both"/>
                  </w:pPr>
                  <w:r>
                    <w:rPr>
                      <w:rFonts w:ascii="仿宋_GB2312" w:hAnsi="仿宋_GB2312" w:cs="仿宋_GB2312" w:eastAsia="仿宋_GB2312"/>
                      <w:sz w:val="19"/>
                    </w:rPr>
                    <w:t>辅导标准：</w:t>
                  </w:r>
                  <w:r>
                    <w:rPr>
                      <w:rFonts w:ascii="仿宋_GB2312" w:hAnsi="仿宋_GB2312" w:cs="仿宋_GB2312" w:eastAsia="仿宋_GB2312"/>
                      <w:sz w:val="19"/>
                    </w:rPr>
                    <w:t>3.5</w:t>
                  </w:r>
                  <w:r>
                    <w:rPr>
                      <w:rFonts w:ascii="仿宋_GB2312" w:hAnsi="仿宋_GB2312" w:cs="仿宋_GB2312" w:eastAsia="仿宋_GB2312"/>
                      <w:sz w:val="19"/>
                    </w:rPr>
                    <w:t>时</w:t>
                  </w:r>
                  <w:r>
                    <w:rPr>
                      <w:rFonts w:ascii="仿宋_GB2312" w:hAnsi="仿宋_GB2312" w:cs="仿宋_GB2312" w:eastAsia="仿宋_GB2312"/>
                      <w:sz w:val="19"/>
                    </w:rPr>
                    <w:t>/</w:t>
                  </w:r>
                  <w:r>
                    <w:rPr>
                      <w:rFonts w:ascii="仿宋_GB2312" w:hAnsi="仿宋_GB2312" w:cs="仿宋_GB2312" w:eastAsia="仿宋_GB2312"/>
                      <w:sz w:val="19"/>
                    </w:rPr>
                    <w:t>次</w:t>
                  </w:r>
                  <w:r>
                    <w:rPr>
                      <w:rFonts w:ascii="仿宋_GB2312" w:hAnsi="仿宋_GB2312" w:cs="仿宋_GB2312" w:eastAsia="仿宋_GB2312"/>
                      <w:sz w:val="19"/>
                    </w:rPr>
                    <w:t>/</w:t>
                  </w:r>
                  <w:r>
                    <w:rPr>
                      <w:rFonts w:ascii="仿宋_GB2312" w:hAnsi="仿宋_GB2312" w:cs="仿宋_GB2312" w:eastAsia="仿宋_GB2312"/>
                      <w:sz w:val="19"/>
                    </w:rPr>
                    <w:t>周</w:t>
                  </w:r>
                </w:p>
              </w:tc>
            </w:tr>
            <w:tr>
              <w:tc>
                <w:tcPr>
                  <w:tcW w:type="dxa" w:w="3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备赛服务</w:t>
                  </w:r>
                </w:p>
              </w:tc>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对备战省赛的优质项目以省赛</w:t>
                  </w:r>
                  <w:r>
                    <w:rPr>
                      <w:rFonts w:ascii="仿宋_GB2312" w:hAnsi="仿宋_GB2312" w:cs="仿宋_GB2312" w:eastAsia="仿宋_GB2312"/>
                      <w:sz w:val="19"/>
                    </w:rPr>
                    <w:t>/</w:t>
                  </w:r>
                  <w:r>
                    <w:rPr>
                      <w:rFonts w:ascii="仿宋_GB2312" w:hAnsi="仿宋_GB2312" w:cs="仿宋_GB2312" w:eastAsia="仿宋_GB2312"/>
                      <w:sz w:val="19"/>
                    </w:rPr>
                    <w:t>国赛指标进行一对一的项目辅导。</w:t>
                  </w:r>
                </w:p>
              </w:tc>
              <w:tc>
                <w:tcPr>
                  <w:tcW w:type="dxa" w:w="7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时长：</w:t>
                  </w:r>
                  <w:r>
                    <w:rPr>
                      <w:rFonts w:ascii="仿宋_GB2312" w:hAnsi="仿宋_GB2312" w:cs="仿宋_GB2312" w:eastAsia="仿宋_GB2312"/>
                      <w:sz w:val="19"/>
                    </w:rPr>
                    <w:t>根据甲方需求</w:t>
                  </w:r>
                  <w:r>
                    <w:br/>
                  </w:r>
                  <w:r>
                    <w:rPr>
                      <w:rFonts w:ascii="仿宋_GB2312" w:hAnsi="仿宋_GB2312" w:cs="仿宋_GB2312" w:eastAsia="仿宋_GB2312"/>
                      <w:sz w:val="19"/>
                    </w:rPr>
                    <w:t>形式：线上</w:t>
                  </w:r>
                  <w:r>
                    <w:rPr>
                      <w:rFonts w:ascii="仿宋_GB2312" w:hAnsi="仿宋_GB2312" w:cs="仿宋_GB2312" w:eastAsia="仿宋_GB2312"/>
                      <w:sz w:val="19"/>
                    </w:rPr>
                    <w:t>/</w:t>
                  </w:r>
                  <w:r>
                    <w:rPr>
                      <w:rFonts w:ascii="仿宋_GB2312" w:hAnsi="仿宋_GB2312" w:cs="仿宋_GB2312" w:eastAsia="仿宋_GB2312"/>
                      <w:sz w:val="19"/>
                    </w:rPr>
                    <w:t>线下</w:t>
                  </w:r>
                  <w:r>
                    <w:br/>
                  </w:r>
                  <w:r>
                    <w:rPr>
                      <w:rFonts w:ascii="仿宋_GB2312" w:hAnsi="仿宋_GB2312" w:cs="仿宋_GB2312" w:eastAsia="仿宋_GB2312"/>
                      <w:sz w:val="19"/>
                    </w:rPr>
                    <w:t>导师：</w:t>
                  </w:r>
                  <w:r>
                    <w:rPr>
                      <w:rFonts w:ascii="仿宋_GB2312" w:hAnsi="仿宋_GB2312" w:cs="仿宋_GB2312" w:eastAsia="仿宋_GB2312"/>
                      <w:sz w:val="19"/>
                    </w:rPr>
                    <w:t>2-4</w:t>
                  </w:r>
                  <w:r>
                    <w:rPr>
                      <w:rFonts w:ascii="仿宋_GB2312" w:hAnsi="仿宋_GB2312" w:cs="仿宋_GB2312" w:eastAsia="仿宋_GB2312"/>
                      <w:sz w:val="19"/>
                    </w:rPr>
                    <w:t>人</w:t>
                  </w:r>
                  <w:r>
                    <w:rPr>
                      <w:rFonts w:ascii="仿宋_GB2312" w:hAnsi="仿宋_GB2312" w:cs="仿宋_GB2312" w:eastAsia="仿宋_GB2312"/>
                      <w:sz w:val="19"/>
                    </w:rPr>
                    <w:t>/</w:t>
                  </w:r>
                  <w:r>
                    <w:rPr>
                      <w:rFonts w:ascii="仿宋_GB2312" w:hAnsi="仿宋_GB2312" w:cs="仿宋_GB2312" w:eastAsia="仿宋_GB2312"/>
                      <w:sz w:val="19"/>
                    </w:rPr>
                    <w:t>场</w:t>
                  </w:r>
                </w:p>
              </w:tc>
            </w:tr>
            <w:tr>
              <w:tc>
                <w:tcPr>
                  <w:tcW w:type="dxa" w:w="3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赛事复盘会</w:t>
                  </w:r>
                </w:p>
              </w:tc>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19"/>
                    </w:rPr>
                    <w:t>总结当年度大赛项目特色亮点典型经验，客观分析聚焦</w:t>
                  </w:r>
                  <w:r>
                    <w:rPr>
                      <w:rFonts w:ascii="仿宋_GB2312" w:hAnsi="仿宋_GB2312" w:cs="仿宋_GB2312" w:eastAsia="仿宋_GB2312"/>
                      <w:sz w:val="19"/>
                    </w:rPr>
                    <w:t>“挑战杯”赛事基于下的课程体系、培养机制、教法创新、实践训练、教师队伍等重点领域和关节环节改革。</w:t>
                  </w:r>
                </w:p>
              </w:tc>
              <w:tc>
                <w:tcPr>
                  <w:tcW w:type="dxa" w:w="7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时长：</w:t>
                  </w:r>
                  <w:r>
                    <w:rPr>
                      <w:rFonts w:ascii="仿宋_GB2312" w:hAnsi="仿宋_GB2312" w:cs="仿宋_GB2312" w:eastAsia="仿宋_GB2312"/>
                      <w:sz w:val="19"/>
                    </w:rPr>
                    <w:t>1</w:t>
                  </w:r>
                  <w:r>
                    <w:rPr>
                      <w:rFonts w:ascii="仿宋_GB2312" w:hAnsi="仿宋_GB2312" w:cs="仿宋_GB2312" w:eastAsia="仿宋_GB2312"/>
                      <w:sz w:val="19"/>
                    </w:rPr>
                    <w:t>天</w:t>
                  </w:r>
                  <w:r>
                    <w:br/>
                  </w:r>
                  <w:r>
                    <w:rPr>
                      <w:rFonts w:ascii="仿宋_GB2312" w:hAnsi="仿宋_GB2312" w:cs="仿宋_GB2312" w:eastAsia="仿宋_GB2312"/>
                      <w:sz w:val="19"/>
                    </w:rPr>
                    <w:t>导师</w:t>
                  </w:r>
                  <w:r>
                    <w:rPr>
                      <w:rFonts w:ascii="仿宋_GB2312" w:hAnsi="仿宋_GB2312" w:cs="仿宋_GB2312" w:eastAsia="仿宋_GB2312"/>
                      <w:sz w:val="19"/>
                    </w:rPr>
                    <w:t>:1</w:t>
                  </w:r>
                  <w:r>
                    <w:rPr>
                      <w:rFonts w:ascii="仿宋_GB2312" w:hAnsi="仿宋_GB2312" w:cs="仿宋_GB2312" w:eastAsia="仿宋_GB2312"/>
                      <w:sz w:val="19"/>
                    </w:rPr>
                    <w:t>人</w:t>
                  </w:r>
                </w:p>
              </w:tc>
            </w:tr>
          </w:tbl>
          <w:p>
            <w:pPr>
              <w:pStyle w:val="null3"/>
              <w:jc w:val="both"/>
            </w:pPr>
            <w:r>
              <w:rPr>
                <w:rFonts w:ascii="仿宋_GB2312" w:hAnsi="仿宋_GB2312" w:cs="仿宋_GB2312" w:eastAsia="仿宋_GB2312"/>
              </w:rPr>
              <w:t>四</w:t>
            </w:r>
            <w:r>
              <w:rPr>
                <w:rFonts w:ascii="仿宋_GB2312" w:hAnsi="仿宋_GB2312" w:cs="仿宋_GB2312" w:eastAsia="仿宋_GB2312"/>
              </w:rPr>
              <w:t>、其他</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（一）进度要求</w:t>
            </w:r>
          </w:p>
          <w:p>
            <w:pPr>
              <w:pStyle w:val="null3"/>
              <w:ind w:firstLine="560"/>
              <w:jc w:val="both"/>
            </w:pPr>
            <w:r>
              <w:rPr>
                <w:rFonts w:ascii="仿宋_GB2312" w:hAnsi="仿宋_GB2312" w:cs="仿宋_GB2312" w:eastAsia="仿宋_GB2312"/>
              </w:rPr>
              <w:t>校赛阶段为学校提供专家支持，对参赛选手、指导教师、参赛项目进行辅导培训</w:t>
            </w:r>
            <w:r>
              <w:rPr>
                <w:rFonts w:ascii="仿宋_GB2312" w:hAnsi="仿宋_GB2312" w:cs="仿宋_GB2312" w:eastAsia="仿宋_GB2312"/>
              </w:rPr>
              <w:t>，</w:t>
            </w:r>
            <w:r>
              <w:rPr>
                <w:rFonts w:ascii="仿宋_GB2312" w:hAnsi="仿宋_GB2312" w:cs="仿宋_GB2312" w:eastAsia="仿宋_GB2312"/>
              </w:rPr>
              <w:t>对比赛赛制进行解读</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校赛决赛阶段为学校提供专家支持，遴选出参加省赛作品，对遴选作品进行全方位的辅导；</w:t>
            </w:r>
          </w:p>
          <w:p>
            <w:pPr>
              <w:pStyle w:val="null3"/>
              <w:ind w:firstLine="560"/>
              <w:jc w:val="both"/>
            </w:pPr>
            <w:r>
              <w:rPr>
                <w:rFonts w:ascii="仿宋_GB2312" w:hAnsi="仿宋_GB2312" w:cs="仿宋_GB2312" w:eastAsia="仿宋_GB2312"/>
              </w:rPr>
              <w:t>立项训练营，针对优秀项目组织不少于</w:t>
            </w:r>
            <w:r>
              <w:rPr>
                <w:rFonts w:ascii="仿宋_GB2312" w:hAnsi="仿宋_GB2312" w:cs="仿宋_GB2312" w:eastAsia="仿宋_GB2312"/>
              </w:rPr>
              <w:t>4</w:t>
            </w:r>
            <w:r>
              <w:rPr>
                <w:rFonts w:ascii="仿宋_GB2312" w:hAnsi="仿宋_GB2312" w:cs="仿宋_GB2312" w:eastAsia="仿宋_GB2312"/>
              </w:rPr>
              <w:t>名省内外专家进行项目打磨、项目包装；</w:t>
            </w:r>
          </w:p>
          <w:p>
            <w:pPr>
              <w:pStyle w:val="null3"/>
              <w:ind w:firstLine="560"/>
              <w:jc w:val="both"/>
            </w:pPr>
            <w:r>
              <w:rPr>
                <w:rFonts w:ascii="仿宋_GB2312" w:hAnsi="仿宋_GB2312" w:cs="仿宋_GB2312" w:eastAsia="仿宋_GB2312"/>
              </w:rPr>
              <w:t>备赛训练营，针对优秀项目组织不少于</w:t>
            </w:r>
            <w:r>
              <w:rPr>
                <w:rFonts w:ascii="仿宋_GB2312" w:hAnsi="仿宋_GB2312" w:cs="仿宋_GB2312" w:eastAsia="仿宋_GB2312"/>
              </w:rPr>
              <w:t>5</w:t>
            </w:r>
            <w:r>
              <w:rPr>
                <w:rFonts w:ascii="仿宋_GB2312" w:hAnsi="仿宋_GB2312" w:cs="仿宋_GB2312" w:eastAsia="仿宋_GB2312"/>
              </w:rPr>
              <w:t>名省内外专家进行项目打磨、项目包装；</w:t>
            </w:r>
          </w:p>
          <w:p>
            <w:pPr>
              <w:pStyle w:val="null3"/>
              <w:ind w:firstLine="560"/>
              <w:jc w:val="both"/>
            </w:pPr>
            <w:r>
              <w:rPr>
                <w:rFonts w:ascii="仿宋_GB2312" w:hAnsi="仿宋_GB2312" w:cs="仿宋_GB2312" w:eastAsia="仿宋_GB2312"/>
              </w:rPr>
              <w:t>竞赛结束后，对整个过程进行复盘、总结。</w:t>
            </w:r>
          </w:p>
          <w:p>
            <w:pPr>
              <w:pStyle w:val="null3"/>
              <w:jc w:val="both"/>
            </w:pPr>
            <w:r>
              <w:rPr>
                <w:rFonts w:ascii="仿宋_GB2312" w:hAnsi="仿宋_GB2312" w:cs="仿宋_GB2312" w:eastAsia="仿宋_GB2312"/>
              </w:rPr>
              <w:t>（二）成果交付要求</w:t>
            </w:r>
          </w:p>
          <w:p>
            <w:pPr>
              <w:pStyle w:val="null3"/>
              <w:ind w:firstLine="560"/>
              <w:jc w:val="both"/>
            </w:pPr>
            <w:r>
              <w:rPr>
                <w:rFonts w:ascii="仿宋_GB2312" w:hAnsi="仿宋_GB2312" w:cs="仿宋_GB2312" w:eastAsia="仿宋_GB2312"/>
              </w:rPr>
              <w:t>力争在第</w:t>
            </w:r>
            <w:r>
              <w:rPr>
                <w:rFonts w:ascii="仿宋_GB2312" w:hAnsi="仿宋_GB2312" w:cs="仿宋_GB2312" w:eastAsia="仿宋_GB2312"/>
              </w:rPr>
              <w:t>十五</w:t>
            </w:r>
            <w:r>
              <w:rPr>
                <w:rFonts w:ascii="仿宋_GB2312" w:hAnsi="仿宋_GB2312" w:cs="仿宋_GB2312" w:eastAsia="仿宋_GB2312"/>
              </w:rPr>
              <w:t>届</w:t>
            </w:r>
            <w:r>
              <w:rPr>
                <w:rFonts w:ascii="仿宋_GB2312" w:hAnsi="仿宋_GB2312" w:cs="仿宋_GB2312" w:eastAsia="仿宋_GB2312"/>
              </w:rPr>
              <w:t>“</w:t>
            </w:r>
            <w:r>
              <w:rPr>
                <w:rFonts w:ascii="仿宋_GB2312" w:hAnsi="仿宋_GB2312" w:cs="仿宋_GB2312" w:eastAsia="仿宋_GB2312"/>
              </w:rPr>
              <w:t>挑战杯</w:t>
            </w:r>
            <w:r>
              <w:rPr>
                <w:rFonts w:ascii="仿宋_GB2312" w:hAnsi="仿宋_GB2312" w:cs="仿宋_GB2312" w:eastAsia="仿宋_GB2312"/>
              </w:rPr>
              <w:t>”</w:t>
            </w:r>
            <w:r>
              <w:rPr>
                <w:rFonts w:ascii="仿宋_GB2312" w:hAnsi="仿宋_GB2312" w:cs="仿宋_GB2312" w:eastAsia="仿宋_GB2312"/>
              </w:rPr>
              <w:t>陕西省</w:t>
            </w:r>
            <w:r>
              <w:rPr>
                <w:rFonts w:ascii="仿宋_GB2312" w:hAnsi="仿宋_GB2312" w:cs="仿宋_GB2312" w:eastAsia="仿宋_GB2312"/>
              </w:rPr>
              <w:t>大学生</w:t>
            </w:r>
            <w:r>
              <w:rPr>
                <w:rFonts w:ascii="仿宋_GB2312" w:hAnsi="仿宋_GB2312" w:cs="仿宋_GB2312" w:eastAsia="仿宋_GB2312"/>
              </w:rPr>
              <w:t>课外学术科技竞赛</w:t>
            </w:r>
            <w:r>
              <w:rPr>
                <w:rFonts w:ascii="仿宋_GB2312" w:hAnsi="仿宋_GB2312" w:cs="仿宋_GB2312" w:eastAsia="仿宋_GB2312"/>
              </w:rPr>
              <w:t>中取得优异成绩。</w:t>
            </w:r>
          </w:p>
          <w:p>
            <w:pPr>
              <w:pStyle w:val="null3"/>
              <w:jc w:val="both"/>
            </w:pPr>
            <w:r>
              <w:rPr>
                <w:rFonts w:ascii="仿宋_GB2312" w:hAnsi="仿宋_GB2312" w:cs="仿宋_GB2312" w:eastAsia="仿宋_GB2312"/>
              </w:rPr>
              <w:t>（三）质量验收标准或规范</w:t>
            </w:r>
          </w:p>
          <w:p>
            <w:pPr>
              <w:pStyle w:val="null3"/>
              <w:ind w:firstLine="560"/>
              <w:jc w:val="both"/>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jc w:val="both"/>
            </w:pPr>
            <w:r>
              <w:rPr>
                <w:rFonts w:ascii="仿宋_GB2312" w:hAnsi="仿宋_GB2312" w:cs="仿宋_GB2312" w:eastAsia="仿宋_GB2312"/>
              </w:rPr>
              <w:t>（四）违约责任</w:t>
            </w:r>
          </w:p>
          <w:p>
            <w:pPr>
              <w:pStyle w:val="null3"/>
              <w:jc w:val="both"/>
            </w:pPr>
            <w:r>
              <w:rPr>
                <w:rFonts w:ascii="仿宋_GB2312" w:hAnsi="仿宋_GB2312" w:cs="仿宋_GB2312" w:eastAsia="仿宋_GB2312"/>
                <w:sz w:val="21"/>
              </w:rPr>
              <w:t>一般与合同款项的支付相关，注意不要超出《民法典》中对于违约的责任上限。</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w:t>
            </w:r>
            <w:r>
              <w:rPr>
                <w:rFonts w:ascii="仿宋_GB2312" w:hAnsi="仿宋_GB2312" w:cs="仿宋_GB2312" w:eastAsia="仿宋_GB2312"/>
                <w:sz w:val="20"/>
              </w:rPr>
              <w:t>自签订合同起至</w:t>
            </w:r>
            <w:r>
              <w:rPr>
                <w:rFonts w:ascii="仿宋_GB2312" w:hAnsi="仿宋_GB2312" w:cs="仿宋_GB2312" w:eastAsia="仿宋_GB2312"/>
                <w:sz w:val="20"/>
              </w:rPr>
              <w:t>竞赛结束</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服务地点：采购人指定地点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款项结算</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）支付方式：银行转账。</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付款条件说明：</w:t>
            </w:r>
            <w:r>
              <w:rPr>
                <w:rFonts w:ascii="仿宋_GB2312" w:hAnsi="仿宋_GB2312" w:cs="仿宋_GB2312" w:eastAsia="仿宋_GB2312"/>
                <w:sz w:val="20"/>
              </w:rPr>
              <w:t>合同签订生效后支付预付款</w:t>
            </w:r>
            <w:r>
              <w:rPr>
                <w:rFonts w:ascii="仿宋_GB2312" w:hAnsi="仿宋_GB2312" w:cs="仿宋_GB2312" w:eastAsia="仿宋_GB2312"/>
                <w:sz w:val="20"/>
              </w:rPr>
              <w:t>，达到付款条件起</w:t>
            </w:r>
            <w:r>
              <w:rPr>
                <w:rFonts w:ascii="仿宋_GB2312" w:hAnsi="仿宋_GB2312" w:cs="仿宋_GB2312" w:eastAsia="仿宋_GB2312"/>
                <w:sz w:val="20"/>
              </w:rPr>
              <w:t xml:space="preserve">20 </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40.00%</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验收合格后</w:t>
            </w:r>
            <w:r>
              <w:rPr>
                <w:rFonts w:ascii="仿宋_GB2312" w:hAnsi="仿宋_GB2312" w:cs="仿宋_GB2312" w:eastAsia="仿宋_GB2312"/>
                <w:sz w:val="20"/>
              </w:rPr>
              <w:t>，达到付款条件起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60.00%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）结算方式：供应商持验收书，发票（按合同总价开采购人），成交通知书、服务合同，与采购人结算。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详见磋商文件第六章 磋商办法(评分标准)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详见磋商文件第六章 磋商办法(评分标准)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自签订合同起至竞赛结束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提供注册登记凭证（营业执照、其他组织经营的合法凭证，自然人的提供身份证明文件）。2）具有良好的商业信誉和健全的财务会计制度 提供经审计的2022年度或2023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5）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提交投标截止时间前12个月内任意1个月份在本单位缴纳社保证明材料。8）本项目专门面向小微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w:t>
            </w:r>
          </w:p>
        </w:tc>
        <w:tc>
          <w:tcPr>
            <w:tcW w:type="dxa" w:w="1661"/>
          </w:tcPr>
          <w:p>
            <w:pPr>
              <w:pStyle w:val="null3"/>
            </w:pPr>
            <w:r>
              <w:rPr>
                <w:rFonts w:ascii="仿宋_GB2312" w:hAnsi="仿宋_GB2312" w:cs="仿宋_GB2312" w:eastAsia="仿宋_GB2312"/>
              </w:rPr>
              <w:t>响应文件封面 技术商务部分.docx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供应商需提供整体详细、合理、可行的服务方案，包括但不限于项目（赛事解读与选题方向、立项训练营、大赛文本撰写指导、项目路演指导等）：1、供应商针对磋商文件技术服务要求提供针对性强且完善的项目实施方案，服务计划书详细、合理、全面，服务方案达到或优于磋商文件标准。根据响应情况得20～13分； 2、供应商针对磋商文件技术服务要求提供项目实施方案，方案基本合理，服务方案符合采购人基本要求。根据响应情况得12.9～7分； 3、供应商所提供的项目实施方案有缺陷或不尽合理，前后矛盾，服务质量未能达到采购人实际需求。根据响应情况得6.9～0分。未提供不得分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对项目背景理解</w:t>
            </w:r>
          </w:p>
        </w:tc>
        <w:tc>
          <w:tcPr>
            <w:tcW w:type="dxa" w:w="2492"/>
          </w:tcPr>
          <w:p>
            <w:pPr>
              <w:pStyle w:val="null3"/>
            </w:pPr>
            <w:r>
              <w:rPr>
                <w:rFonts w:ascii="仿宋_GB2312" w:hAnsi="仿宋_GB2312" w:cs="仿宋_GB2312" w:eastAsia="仿宋_GB2312"/>
              </w:rPr>
              <w:t>根据供应商对建设背景、项目需求，建设目标等进行理解及分析描述： 1、供应商需对项目的背景具有深刻的理解，对项目服务目标和服务内容进行完整、合理的阐述，根据响应情况得10～6分； 2、供应商对项目背景的理解基本准确到位，满足采购人基本服务要求，根据响应情况得5.9～3分； 3、供应商对于本项目的背景理解较差，不能完全满足采购人实际需求，根据响应情况得2.9～0分。未提供不得分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1.供应商结合本项目要求，配备具备等相关项目经验，满足磋商文件要求且服务好、专业能力强的服务团队，根据响应情况得10～7分； 2.供应商所配备相关服务团队基本满足本项目服务需求，相关人员素质较为一般，根据响应情况得6.9～3分； 3.供应商所配备相关人员素质较差，不能完全满足本项目实际需求，投入人员团队经验不够丰富,可能在服务期内出现响应不及时、工作不到位的情况，根据响应情况得2.9～0分。 （以上内容需提供术人员的简历、学历证书等证明材料）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对比供应商对本项目提供的保障措施方案（质量保障措施、进度保障措施、应急保障措施），对本项保障措施的合理性、全面性、可行性、针对性进行打分： 1.质量保障措施，根据响应情况计5～0分。 2.进度保障措施，根据响应情况计5～0分。 3.应急保障措施，根据响应情况计5～0分。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采购需求及项目实际情况，能够提出有价值的合理化建议，且具体切实可行，有利于提升本项目整体服务质量。1.建议合理、切实可行，内容详尽、全面，得10～6分；2.建议较合理、可行，内容较详尽、全面，得5.9～3分；3.建议基本合理、可行，内容基本详尽、全面，得2.9～0。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项目重点难点分析及解决方案：本项目实施面临的重点、难点进行分析及 对本项目重点、难点的解决方案。1.方案内容详尽全面，具体内容合 理得当得5～3分；2.方案不充分，具体内容有欠妥当得2.9～0分。未提供不得分。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针对本项目及采购人实际需求提供的服务承诺（包括但不限于出现问题有可行性方案、解决问题时限、针对本项目工作配合相关的承诺等)。1.承诺内容详尽全面，具体内容合 理得当得10～6分；2.承诺比较全面，具体内容比较合理得5.9～3分；3.承诺不充分，具体内容有欠妥当得2.9～0分。未提供不得分。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2021年1月1日起至今，磋商响应人承接类似服务项目的业绩(业绩以合同复印件为准)，每提供一份有效业绩得2分，最多得10分。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以最终报价进行评审。 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