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版本号：MZ2025-CS101920250409001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承办市十七运会项目比赛(三次)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MZ2025-CS1019</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承办市十七运会项目比赛(三次)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承办市十七运会项目比赛(三次)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2025年西安市第十七届运动会水上测功仪、拳击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采购包1（水上测功仪、拳击）：属于专门面向中小企业采购。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灞桥区欧亚大道辅路与林泓路交叉口东北240米西安市体育运动学校</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采购包1：294,980.00元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不足五千元按人民币五千元收取。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西安市体育运动学校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w:t>
      </w:r>
      <w:r>
        <w:rPr>
          <w:rFonts w:ascii="仿宋_GB2312" w:hAnsi="仿宋_GB2312" w:cs="仿宋_GB2312" w:eastAsia="仿宋_GB2312"/>
          <w:sz w:val="21"/>
        </w:rPr>
        <w:t>2025年西安市第十七届运动会水上测功仪、拳击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294,980.00</w:t>
      </w:r>
    </w:p>
    <w:p>
      <w:pPr>
        <w:pStyle w:val="null3"/>
      </w:pPr>
      <w:r>
        <w:rPr>
          <w:rFonts w:ascii="仿宋_GB2312" w:hAnsi="仿宋_GB2312" w:cs="仿宋_GB2312" w:eastAsia="仿宋_GB2312"/>
        </w:rPr>
        <w:t>采购包最高限价（元）: 294,980.00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294980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标的名称：294980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测功仪项目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双人折叠桌20张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折叠椅子40把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帐篷</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LED屏幕</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3m*8m</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雷亚架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舞台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一米线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平米</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屏幕控制及音响控制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本次比赛统一使用赛艇测功仪，风阻型。检测器:PM5，最大允许体重:135kg，曲柄长度:137mm 设备重量:26kg，链条:镀镍连，支 架:铝合金前脚钢制后脚，空间要求:244x61x50.8cm，存放:可拆卸两部分滑轮移动</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备用电池</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测功仪电池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裁判员及工作人员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裁判长（国家级及以上）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裁判员（国家一级及以上）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主持人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皮划艇1天，赛艇1天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比赛场地</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比赛场地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位于景区或商业区的开阔平整场地，及应急备用场地。最终场地确认需经采购人同意。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赛时报备</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赛时报备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负责公安赛事报备、交通</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全体裁判员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本项目共一场赛事：竞赛日为三天 ，4月18日至4月20日，约200名运动员。具体情况，以实际报名为准。</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拳击项目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适用于省级及以上比赛的电子编排系统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双人折叠桌40张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折叠椅子80把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A字板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喷绘布及桁架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隔离铁马</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车辆通行证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动线，入口，出口等导视展板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教练席指示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双方教练席指示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入口宣传背景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两侧背景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手提包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裁判员、各区县代表队领队</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电视机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电脑显示器</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落地风扇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随身无线网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团体奖牌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吉祥物纪念品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计时用秒表；锣锤；倒计时 10 秒敲击惊堂 木 2 个；双音哨和铃；比赛用拳套、头盔、护手绷带；2CM 宽胶布 、5CM 宽红、蓝胶带 、OK 章 4 个、红印泥和蓝印泥 ；播音设备（配麦克风 ）；制冰机 、红蓝白仲裁宣告胜负牌各（可用木板或乒乓球拍制 作）；红蓝角运动员足量饮用水；手提喇叭 ，对讲机 ；毛巾5 条、洗脸盆 ；拳台四周A字板（1 米*2 米）；拳台间隔板（3 米*0.25 米*11 米）</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抽签桶、中性笔（红、蓝、黑色 ）、油性签字笔、 铅笔及红蓝铅笔、涂改液；钉书器；剪刀、裁纸刀等、尺子（大中小）；双面胶纸、不干胶棒；信封若干；橡皮筋若干；运输车辆。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医务器材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电子体温枪、电子血压计、水银汞柱血压计水银体温计、内科医生带听诊器、外科医生带笔式小手带电、叩诊锤。五官科医生带笔式小手电及相关专科设备。铲式担架、除颤仪、氧气袋、颈托，盐酸肾上腺素注射液、 10%的次氯酸钠消毒液若干、轮椅，医用橡胶检查手套，无菌纱布块，相关必备急救药品</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专业拳击台</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拳击台外形尺寸：7.8m×7.8m，台面高度为1m；2、比赛区尺寸6.1m×6.1m；3、横梁材质规格：120mm×80mm×3mm；4、立柱管材质规格：φ140×5.5；5、立柱底盘直径：300mm；6、台面胶合板厚度：桦木多层板/t25mm；7、台面柔性层厚度：ρ50倍XPE/t20mm；8、高台主要有由立柱、支撑横梁和木板等组成：框架、立柱主要材质为钢制矩管；木板组合主要材质为桦木多层板。高台采用U型夹包裹式连接方式，连接牢固可靠，外观美观大方；软包材质：PU布、海绵、高承载海绵、XPE、EVA优质碳素结构钢、桦木多层板等。产品通过国际拳击联合认证</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电子打分系统</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1.1 实时采集五名裁判的打分情况并记录采集时间。</w:t>
                  </w:r>
                  <w:r>
                    <w:br/>
                  </w:r>
                  <w:r>
                    <w:rPr>
                      <w:rFonts w:ascii="仿宋_GB2312" w:hAnsi="仿宋_GB2312" w:cs="仿宋_GB2312" w:eastAsia="仿宋_GB2312"/>
                      <w:sz w:val="28"/>
                      <w:color w:val="000000"/>
                    </w:rPr>
                    <w:t xml:space="preserve"> 1.2 显示每局比赛的进行时间及休息时间，时间可设置。</w:t>
                  </w:r>
                  <w:r>
                    <w:br/>
                  </w:r>
                  <w:r>
                    <w:rPr>
                      <w:rFonts w:ascii="仿宋_GB2312" w:hAnsi="仿宋_GB2312" w:cs="仿宋_GB2312" w:eastAsia="仿宋_GB2312"/>
                      <w:sz w:val="28"/>
                      <w:color w:val="000000"/>
                    </w:rPr>
                    <w:t xml:space="preserve"> 1.3 实时显示五名裁判所给的评判分。</w:t>
                  </w:r>
                  <w:r>
                    <w:br/>
                  </w:r>
                  <w:r>
                    <w:rPr>
                      <w:rFonts w:ascii="仿宋_GB2312" w:hAnsi="仿宋_GB2312" w:cs="仿宋_GB2312" w:eastAsia="仿宋_GB2312"/>
                      <w:sz w:val="28"/>
                      <w:color w:val="000000"/>
                    </w:rPr>
                    <w:t xml:space="preserve"> 1.4 每场比赛结束后，比赛结果及打分情况能自动存储。</w:t>
                  </w:r>
                  <w:r>
                    <w:br/>
                  </w:r>
                  <w:r>
                    <w:rPr>
                      <w:rFonts w:ascii="仿宋_GB2312" w:hAnsi="仿宋_GB2312" w:cs="仿宋_GB2312" w:eastAsia="仿宋_GB2312"/>
                      <w:sz w:val="28"/>
                      <w:color w:val="000000"/>
                    </w:rPr>
                    <w:t xml:space="preserve"> 1.5 符合最新国际拳联比赛规则。</w:t>
                  </w:r>
                  <w:r>
                    <w:br/>
                  </w:r>
                  <w:r>
                    <w:rPr>
                      <w:rFonts w:ascii="仿宋_GB2312" w:hAnsi="仿宋_GB2312" w:cs="仿宋_GB2312" w:eastAsia="仿宋_GB2312"/>
                      <w:sz w:val="28"/>
                      <w:color w:val="000000"/>
                    </w:rPr>
                    <w:t xml:space="preserve"> 1.6 各个比赛数据可以导入和导出，可以实现多台比赛的联网和编排。</w:t>
                  </w:r>
                  <w:r>
                    <w:br/>
                  </w:r>
                  <w:r>
                    <w:rPr>
                      <w:rFonts w:ascii="仿宋_GB2312" w:hAnsi="仿宋_GB2312" w:cs="仿宋_GB2312" w:eastAsia="仿宋_GB2312"/>
                      <w:sz w:val="28"/>
                      <w:color w:val="000000"/>
                    </w:rPr>
                    <w:t xml:space="preserve"> 1.7 可输出满足国家级正式比赛所需要的所有报表，主要包括出场顺序表、评判员记分表、拳击比赛场记表、拳击比赛申诉表、参赛人数统计表、参赛队员统计表、大赛获胜方式统计表、各级别名次表、团体总分表、奖牌排名表。</w:t>
                  </w:r>
                  <w:r>
                    <w:br/>
                  </w:r>
                  <w:r>
                    <w:rPr>
                      <w:rFonts w:ascii="仿宋_GB2312" w:hAnsi="仿宋_GB2312" w:cs="仿宋_GB2312" w:eastAsia="仿宋_GB2312"/>
                      <w:sz w:val="28"/>
                      <w:color w:val="000000"/>
                    </w:rPr>
                    <w:t xml:space="preserve"> 1.8 实时显示各裁判员的评分情况,观众屏根据规则显示相应的信息。</w:t>
                  </w:r>
                  <w:r>
                    <w:br/>
                  </w:r>
                  <w:r>
                    <w:rPr>
                      <w:rFonts w:ascii="仿宋_GB2312" w:hAnsi="仿宋_GB2312" w:cs="仿宋_GB2312" w:eastAsia="仿宋_GB2312"/>
                      <w:sz w:val="28"/>
                      <w:color w:val="000000"/>
                    </w:rPr>
                    <w:t xml:space="preserve"> 1.9 比分屏即时显示比分。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夹板、铅笔、橡皮、签字笔、秒表等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裁判员、嘉宾</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工作人员、志愿者、安保人员   5天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礼仪小姐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负责颁奖仪式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裁判员、工作人员、志愿者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约80套，以实际情况为准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住宿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裁判员、医务、接待人员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约30人，标间，以实际情况为准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秩序册、成绩册、道旗、导视系统、主画面等、所有背景板制作</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本项目共一场赛事，竞赛日为五天，4月15日-4月19日，具体情况以实际报名为准。</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应包含完成本项目所涉及人员劳务、设计、制作、策划执行、广告氛围设计、媒体宣传、运输、安装、验收、税金、设备投入、利润、招标代理服务费以及谈判文件规定的一切费用和本项目履约相关的不可预计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自合同签订之日起到比赛结束为止。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（2）单价及总价均未超出采购预算或最高限价（测功仪项目最高限价：153760.00；拳击项目最高限价：141220.00）</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完全响应谈判文件要求的各项技术/服务/商务实质性条款。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