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F76D4">
      <w:pPr>
        <w:spacing w:before="3" w:line="720" w:lineRule="auto"/>
        <w:jc w:val="center"/>
        <w:rPr>
          <w:rFonts w:hint="eastAsia" w:ascii="宋体" w:hAnsi="宋体" w:cs="仿宋"/>
          <w:b/>
          <w:bCs/>
          <w:sz w:val="44"/>
          <w:szCs w:val="44"/>
          <w:u w:val="single"/>
        </w:rPr>
      </w:pPr>
    </w:p>
    <w:p w14:paraId="60FC4D9B">
      <w:pPr>
        <w:spacing w:before="3" w:line="720" w:lineRule="auto"/>
        <w:jc w:val="center"/>
        <w:rPr>
          <w:rFonts w:hint="eastAsia" w:ascii="宋体" w:hAnsi="宋体" w:cs="仿宋"/>
          <w:b/>
          <w:bCs/>
          <w:spacing w:val="2"/>
          <w:w w:val="95"/>
          <w:sz w:val="48"/>
          <w:szCs w:val="48"/>
        </w:rPr>
      </w:pPr>
      <w:bookmarkStart w:id="0" w:name="_GoBack"/>
      <w:r>
        <w:rPr>
          <w:rFonts w:hint="eastAsia" w:ascii="宋体" w:hAnsi="宋体" w:cs="仿宋"/>
          <w:b/>
          <w:bCs/>
          <w:sz w:val="44"/>
          <w:szCs w:val="44"/>
          <w:u w:val="single"/>
        </w:rPr>
        <w:t>西安市</w:t>
      </w:r>
      <w:bookmarkEnd w:id="0"/>
      <w:r>
        <w:rPr>
          <w:rFonts w:hint="eastAsia" w:ascii="宋体" w:hAnsi="宋体" w:cs="仿宋"/>
          <w:b/>
          <w:bCs/>
          <w:sz w:val="44"/>
          <w:szCs w:val="44"/>
          <w:u w:val="single"/>
        </w:rPr>
        <w:t>中心血站能源费用维修维护服务</w:t>
      </w:r>
    </w:p>
    <w:p w14:paraId="4A3A0C53">
      <w:pPr>
        <w:spacing w:line="720" w:lineRule="auto"/>
        <w:ind w:left="3840" w:right="4506"/>
        <w:rPr>
          <w:rFonts w:hint="eastAsia" w:ascii="宋体" w:hAnsi="宋体" w:cs="仿宋"/>
          <w:b/>
          <w:bCs/>
          <w:sz w:val="48"/>
          <w:szCs w:val="48"/>
        </w:rPr>
      </w:pPr>
    </w:p>
    <w:p w14:paraId="2FF79DE7">
      <w:pPr>
        <w:spacing w:line="720" w:lineRule="auto"/>
        <w:ind w:left="3840" w:right="4506"/>
        <w:rPr>
          <w:rFonts w:hint="eastAsia" w:ascii="宋体" w:hAnsi="宋体" w:cs="仿宋"/>
          <w:b/>
          <w:bCs/>
          <w:sz w:val="48"/>
          <w:szCs w:val="48"/>
        </w:rPr>
      </w:pPr>
    </w:p>
    <w:p w14:paraId="497160EA">
      <w:pPr>
        <w:spacing w:line="720" w:lineRule="auto"/>
        <w:ind w:left="3840" w:right="4506"/>
        <w:rPr>
          <w:rFonts w:hint="eastAsia" w:ascii="宋体" w:hAnsi="宋体" w:cs="仿宋"/>
          <w:b/>
          <w:bCs/>
          <w:sz w:val="48"/>
          <w:szCs w:val="48"/>
        </w:rPr>
      </w:pPr>
      <w:r>
        <w:rPr>
          <w:rFonts w:hint="eastAsia" w:ascii="宋体" w:hAnsi="宋体" w:cs="仿宋"/>
          <w:b/>
          <w:bCs/>
          <w:sz w:val="48"/>
          <w:szCs w:val="48"/>
        </w:rPr>
        <w:t>服务</w:t>
      </w:r>
    </w:p>
    <w:p w14:paraId="1D9FBB1D">
      <w:pPr>
        <w:spacing w:line="720" w:lineRule="auto"/>
        <w:ind w:left="3840" w:right="4506"/>
        <w:rPr>
          <w:rFonts w:hint="eastAsia" w:ascii="宋体" w:hAnsi="宋体" w:cs="仿宋"/>
          <w:sz w:val="48"/>
          <w:szCs w:val="48"/>
        </w:rPr>
      </w:pPr>
      <w:r>
        <w:rPr>
          <w:rFonts w:hint="eastAsia" w:ascii="宋体" w:hAnsi="宋体" w:cs="仿宋"/>
          <w:b/>
          <w:bCs/>
          <w:sz w:val="48"/>
          <w:szCs w:val="48"/>
        </w:rPr>
        <w:t>合同</w:t>
      </w:r>
    </w:p>
    <w:p w14:paraId="13DA13AA">
      <w:pPr>
        <w:tabs>
          <w:tab w:val="left" w:pos="1584"/>
        </w:tabs>
        <w:spacing w:line="720" w:lineRule="auto"/>
        <w:ind w:left="884"/>
        <w:rPr>
          <w:rFonts w:hint="eastAsia" w:ascii="宋体" w:hAnsi="宋体" w:cs="仿宋"/>
          <w:b/>
          <w:bCs/>
          <w:w w:val="95"/>
          <w:sz w:val="30"/>
          <w:szCs w:val="30"/>
        </w:rPr>
      </w:pPr>
    </w:p>
    <w:p w14:paraId="30312937">
      <w:pPr>
        <w:tabs>
          <w:tab w:val="left" w:pos="1584"/>
        </w:tabs>
        <w:spacing w:line="720" w:lineRule="auto"/>
        <w:ind w:left="884"/>
        <w:rPr>
          <w:rFonts w:hint="eastAsia" w:ascii="宋体" w:hAnsi="宋体" w:cs="仿宋"/>
          <w:b/>
          <w:bCs/>
          <w:w w:val="95"/>
          <w:sz w:val="30"/>
          <w:szCs w:val="30"/>
        </w:rPr>
      </w:pPr>
    </w:p>
    <w:p w14:paraId="6906EF41">
      <w:pPr>
        <w:tabs>
          <w:tab w:val="left" w:pos="1584"/>
        </w:tabs>
        <w:spacing w:line="720" w:lineRule="auto"/>
        <w:ind w:left="884"/>
        <w:rPr>
          <w:rFonts w:hint="eastAsia" w:ascii="宋体" w:hAnsi="宋体" w:cs="仿宋"/>
          <w:b/>
          <w:bCs/>
          <w:w w:val="95"/>
          <w:sz w:val="30"/>
          <w:szCs w:val="30"/>
        </w:rPr>
      </w:pPr>
    </w:p>
    <w:p w14:paraId="4A158D5E">
      <w:pPr>
        <w:tabs>
          <w:tab w:val="left" w:pos="1584"/>
        </w:tabs>
        <w:spacing w:line="720" w:lineRule="auto"/>
        <w:ind w:left="884"/>
        <w:rPr>
          <w:rFonts w:hint="eastAsia" w:ascii="宋体" w:hAnsi="宋体" w:cs="仿宋"/>
          <w:sz w:val="30"/>
          <w:szCs w:val="30"/>
        </w:rPr>
      </w:pPr>
      <w:r>
        <w:rPr>
          <w:rFonts w:hint="eastAsia" w:ascii="宋体" w:hAnsi="宋体" w:cs="仿宋"/>
          <w:b/>
          <w:bCs/>
          <w:w w:val="95"/>
          <w:sz w:val="30"/>
          <w:szCs w:val="30"/>
        </w:rPr>
        <w:t>甲</w:t>
      </w:r>
      <w:r>
        <w:rPr>
          <w:rFonts w:hint="eastAsia" w:ascii="宋体" w:hAnsi="宋体" w:cs="仿宋"/>
          <w:b/>
          <w:bCs/>
          <w:w w:val="95"/>
          <w:sz w:val="30"/>
          <w:szCs w:val="30"/>
        </w:rPr>
        <w:tab/>
      </w:r>
      <w:r>
        <w:rPr>
          <w:rFonts w:hint="eastAsia" w:ascii="宋体" w:hAnsi="宋体" w:cs="仿宋"/>
          <w:b/>
          <w:bCs/>
          <w:sz w:val="30"/>
          <w:szCs w:val="30"/>
        </w:rPr>
        <w:t>方</w:t>
      </w:r>
      <w:r>
        <w:rPr>
          <w:rFonts w:hint="eastAsia" w:ascii="宋体" w:hAnsi="宋体"/>
          <w:b/>
          <w:bCs/>
          <w:sz w:val="30"/>
          <w:szCs w:val="30"/>
        </w:rPr>
        <w:t>：西安市中心血站</w:t>
      </w:r>
    </w:p>
    <w:p w14:paraId="37DD398C">
      <w:pPr>
        <w:tabs>
          <w:tab w:val="left" w:pos="1584"/>
        </w:tabs>
        <w:spacing w:line="720" w:lineRule="auto"/>
        <w:ind w:left="884"/>
        <w:rPr>
          <w:rFonts w:hint="eastAsia" w:ascii="宋体" w:hAnsi="宋体" w:cs="仿宋"/>
          <w:sz w:val="30"/>
          <w:szCs w:val="30"/>
        </w:rPr>
      </w:pPr>
      <w:r>
        <w:rPr>
          <w:rFonts w:hint="eastAsia" w:ascii="宋体" w:hAnsi="宋体" w:cs="仿宋"/>
          <w:b/>
          <w:bCs/>
          <w:w w:val="95"/>
          <w:sz w:val="30"/>
          <w:szCs w:val="30"/>
        </w:rPr>
        <w:t>乙</w:t>
      </w:r>
      <w:r>
        <w:rPr>
          <w:rFonts w:hint="eastAsia" w:ascii="宋体" w:hAnsi="宋体" w:cs="仿宋"/>
          <w:b/>
          <w:bCs/>
          <w:w w:val="95"/>
          <w:sz w:val="30"/>
          <w:szCs w:val="30"/>
        </w:rPr>
        <w:tab/>
      </w:r>
      <w:r>
        <w:rPr>
          <w:rFonts w:hint="eastAsia" w:ascii="宋体" w:hAnsi="宋体" w:cs="仿宋"/>
          <w:b/>
          <w:bCs/>
          <w:sz w:val="30"/>
          <w:szCs w:val="30"/>
        </w:rPr>
        <w:t>方：</w:t>
      </w:r>
      <w:r>
        <w:rPr>
          <w:rFonts w:hint="eastAsia" w:ascii="宋体" w:hAnsi="宋体" w:cs="仿宋"/>
          <w:sz w:val="30"/>
          <w:szCs w:val="30"/>
        </w:rPr>
        <w:t xml:space="preserve"> </w:t>
      </w:r>
    </w:p>
    <w:p w14:paraId="3CF58700">
      <w:pPr>
        <w:rPr>
          <w:rFonts w:hint="eastAsia" w:ascii="等线" w:hAnsi="等线" w:cs="Times New Roman"/>
          <w:sz w:val="24"/>
          <w:szCs w:val="22"/>
        </w:rPr>
      </w:pPr>
    </w:p>
    <w:p w14:paraId="3248EE5B">
      <w:pPr>
        <w:rPr>
          <w:rFonts w:hint="eastAsia"/>
        </w:rPr>
      </w:pPr>
    </w:p>
    <w:p w14:paraId="32ECED5B">
      <w:pPr>
        <w:rPr>
          <w:rFonts w:hint="eastAsia"/>
        </w:rPr>
      </w:pPr>
    </w:p>
    <w:p w14:paraId="4C9E6611">
      <w:pPr>
        <w:rPr>
          <w:rFonts w:hint="eastAsia" w:ascii="宋体" w:hAnsi="宋体"/>
        </w:rPr>
      </w:pPr>
    </w:p>
    <w:p w14:paraId="465A7CCC">
      <w:pPr>
        <w:spacing w:line="360" w:lineRule="auto"/>
        <w:rPr>
          <w:rFonts w:hint="eastAsia" w:ascii="宋体" w:hAnsi="宋体"/>
        </w:rPr>
      </w:pPr>
      <w:r>
        <w:rPr>
          <w:rFonts w:hint="eastAsia" w:ascii="宋体" w:hAnsi="宋体"/>
        </w:rPr>
        <w:t xml:space="preserve">甲方及统一社会信用码：西安市中心血站  </w:t>
      </w:r>
    </w:p>
    <w:p w14:paraId="1872758E">
      <w:pPr>
        <w:spacing w:line="360" w:lineRule="auto"/>
        <w:ind w:left="2310" w:hanging="2310" w:hangingChars="1100"/>
        <w:rPr>
          <w:rFonts w:hint="eastAsia" w:ascii="宋体" w:hAnsi="宋体"/>
        </w:rPr>
      </w:pPr>
      <w:r>
        <w:rPr>
          <w:rFonts w:hint="eastAsia" w:ascii="宋体" w:hAnsi="宋体"/>
        </w:rPr>
        <w:t>126101004372030973</w:t>
      </w:r>
    </w:p>
    <w:p w14:paraId="7A147B16">
      <w:pPr>
        <w:spacing w:line="360" w:lineRule="auto"/>
        <w:rPr>
          <w:rFonts w:hint="eastAsia" w:ascii="宋体" w:hAnsi="宋体"/>
        </w:rPr>
      </w:pPr>
      <w:r>
        <w:rPr>
          <w:rFonts w:hint="eastAsia" w:ascii="宋体" w:hAnsi="宋体"/>
        </w:rPr>
        <w:t>通讯地址：西安市朱雀大街407号</w:t>
      </w:r>
    </w:p>
    <w:p w14:paraId="7EC2E529">
      <w:pPr>
        <w:spacing w:line="360" w:lineRule="auto"/>
        <w:rPr>
          <w:rFonts w:hint="eastAsia" w:ascii="宋体" w:hAnsi="宋体"/>
        </w:rPr>
      </w:pPr>
      <w:r>
        <w:rPr>
          <w:rFonts w:hint="eastAsia" w:ascii="宋体" w:hAnsi="宋体"/>
        </w:rPr>
        <w:t>联系电话：029-85243524</w:t>
      </w:r>
    </w:p>
    <w:p w14:paraId="15DE64EF">
      <w:pPr>
        <w:spacing w:line="360" w:lineRule="auto"/>
        <w:rPr>
          <w:rFonts w:hint="eastAsia" w:ascii="宋体" w:hAnsi="宋体"/>
        </w:rPr>
      </w:pPr>
    </w:p>
    <w:p w14:paraId="0FD2F53A">
      <w:pPr>
        <w:spacing w:line="360" w:lineRule="auto"/>
        <w:rPr>
          <w:rFonts w:hint="eastAsia" w:ascii="宋体" w:hAnsi="宋体"/>
        </w:rPr>
      </w:pPr>
      <w:r>
        <w:rPr>
          <w:rFonts w:hint="eastAsia" w:ascii="宋体" w:hAnsi="宋体"/>
        </w:rPr>
        <w:t xml:space="preserve">乙方及统一社会信用码：                   </w:t>
      </w:r>
    </w:p>
    <w:p w14:paraId="2B1661BA">
      <w:pPr>
        <w:spacing w:line="360" w:lineRule="auto"/>
        <w:rPr>
          <w:rFonts w:hint="eastAsia" w:ascii="宋体" w:hAnsi="宋体"/>
        </w:rPr>
      </w:pPr>
      <w:r>
        <w:rPr>
          <w:rFonts w:hint="eastAsia" w:ascii="宋体" w:hAnsi="宋体"/>
        </w:rPr>
        <w:t xml:space="preserve">通讯地址： </w:t>
      </w:r>
    </w:p>
    <w:p w14:paraId="14AFE421">
      <w:pPr>
        <w:spacing w:line="360" w:lineRule="auto"/>
        <w:rPr>
          <w:rFonts w:hint="eastAsia" w:ascii="宋体" w:hAnsi="宋体"/>
        </w:rPr>
      </w:pPr>
      <w:r>
        <w:rPr>
          <w:rFonts w:hint="eastAsia" w:ascii="宋体" w:hAnsi="宋体"/>
        </w:rPr>
        <w:t>联系人及电话：</w:t>
      </w:r>
    </w:p>
    <w:p w14:paraId="3ACF8B5F">
      <w:pPr>
        <w:pStyle w:val="11"/>
        <w:numPr>
          <w:ilvl w:val="0"/>
          <w:numId w:val="1"/>
        </w:numPr>
        <w:ind w:firstLineChars="0"/>
        <w:rPr>
          <w:rFonts w:hint="eastAsia" w:ascii="宋体" w:hAnsi="宋体"/>
          <w:b/>
          <w:sz w:val="28"/>
        </w:rPr>
      </w:pPr>
      <w:r>
        <w:rPr>
          <w:rFonts w:hint="eastAsia" w:ascii="宋体" w:hAnsi="宋体"/>
          <w:b/>
        </w:rPr>
        <w:t>订单详情</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560"/>
        <w:gridCol w:w="708"/>
        <w:gridCol w:w="851"/>
        <w:gridCol w:w="1134"/>
        <w:gridCol w:w="1134"/>
        <w:gridCol w:w="1276"/>
        <w:gridCol w:w="1134"/>
      </w:tblGrid>
      <w:tr w14:paraId="601C3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vAlign w:val="center"/>
          </w:tcPr>
          <w:p w14:paraId="47229CFE">
            <w:pPr>
              <w:spacing w:line="360" w:lineRule="auto"/>
              <w:ind w:left="-94" w:leftChars="-45" w:right="-94" w:rightChars="-45"/>
              <w:jc w:val="center"/>
              <w:rPr>
                <w:rFonts w:ascii="宋体" w:hAnsi="宋体" w:cs="Times New Roman"/>
                <w:szCs w:val="21"/>
              </w:rPr>
            </w:pPr>
            <w:r>
              <w:rPr>
                <w:rFonts w:hint="eastAsia" w:ascii="宋体" w:hAnsi="宋体"/>
                <w:szCs w:val="21"/>
              </w:rPr>
              <w:t>序号</w:t>
            </w:r>
          </w:p>
        </w:tc>
        <w:tc>
          <w:tcPr>
            <w:tcW w:w="1560" w:type="dxa"/>
            <w:tcBorders>
              <w:top w:val="single" w:color="auto" w:sz="4" w:space="0"/>
              <w:left w:val="single" w:color="auto" w:sz="4" w:space="0"/>
              <w:bottom w:val="single" w:color="auto" w:sz="4" w:space="0"/>
              <w:right w:val="single" w:color="auto" w:sz="4" w:space="0"/>
            </w:tcBorders>
            <w:vAlign w:val="center"/>
          </w:tcPr>
          <w:p w14:paraId="15EDA22E">
            <w:pPr>
              <w:spacing w:line="360" w:lineRule="auto"/>
              <w:ind w:left="-94" w:leftChars="-45" w:right="-94" w:rightChars="-45"/>
              <w:jc w:val="center"/>
              <w:rPr>
                <w:rFonts w:ascii="宋体" w:hAnsi="宋体" w:cs="Times New Roman"/>
                <w:szCs w:val="21"/>
              </w:rPr>
            </w:pPr>
            <w:r>
              <w:rPr>
                <w:rFonts w:hint="eastAsia" w:ascii="宋体" w:hAnsi="宋体"/>
                <w:szCs w:val="21"/>
              </w:rPr>
              <w:t>服务内容</w:t>
            </w:r>
          </w:p>
        </w:tc>
        <w:tc>
          <w:tcPr>
            <w:tcW w:w="708" w:type="dxa"/>
            <w:tcBorders>
              <w:top w:val="single" w:color="auto" w:sz="4" w:space="0"/>
              <w:left w:val="single" w:color="auto" w:sz="4" w:space="0"/>
              <w:bottom w:val="single" w:color="auto" w:sz="4" w:space="0"/>
              <w:right w:val="single" w:color="auto" w:sz="4" w:space="0"/>
            </w:tcBorders>
            <w:vAlign w:val="center"/>
          </w:tcPr>
          <w:p w14:paraId="58737362">
            <w:pPr>
              <w:spacing w:line="360" w:lineRule="auto"/>
              <w:ind w:left="-94" w:leftChars="-45" w:right="-94" w:rightChars="-45"/>
              <w:jc w:val="center"/>
              <w:rPr>
                <w:rFonts w:ascii="宋体" w:hAnsi="宋体" w:cs="Times New Roman"/>
                <w:szCs w:val="21"/>
              </w:rPr>
            </w:pPr>
            <w:r>
              <w:rPr>
                <w:rFonts w:hint="eastAsia" w:ascii="宋体" w:hAnsi="宋体"/>
                <w:szCs w:val="21"/>
              </w:rPr>
              <w:t>数量</w:t>
            </w:r>
          </w:p>
        </w:tc>
        <w:tc>
          <w:tcPr>
            <w:tcW w:w="851" w:type="dxa"/>
            <w:tcBorders>
              <w:top w:val="single" w:color="auto" w:sz="4" w:space="0"/>
              <w:left w:val="single" w:color="auto" w:sz="4" w:space="0"/>
              <w:bottom w:val="single" w:color="auto" w:sz="4" w:space="0"/>
              <w:right w:val="single" w:color="auto" w:sz="4" w:space="0"/>
            </w:tcBorders>
            <w:vAlign w:val="center"/>
          </w:tcPr>
          <w:p w14:paraId="601E6B0A">
            <w:pPr>
              <w:spacing w:line="360" w:lineRule="auto"/>
              <w:ind w:left="-94" w:leftChars="-45" w:right="-94" w:rightChars="-45"/>
              <w:jc w:val="center"/>
              <w:rPr>
                <w:rFonts w:ascii="宋体" w:hAnsi="宋体" w:cs="Times New Roman"/>
                <w:szCs w:val="21"/>
              </w:rPr>
            </w:pPr>
            <w:r>
              <w:rPr>
                <w:rFonts w:hint="eastAsia" w:ascii="宋体" w:hAnsi="宋体"/>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14:paraId="09FD42D1">
            <w:pPr>
              <w:spacing w:line="360" w:lineRule="auto"/>
              <w:ind w:left="-94" w:leftChars="-45" w:right="-94" w:rightChars="-45"/>
              <w:rPr>
                <w:rFonts w:ascii="宋体" w:hAnsi="宋体" w:cs="Times New Roman"/>
                <w:szCs w:val="21"/>
              </w:rPr>
            </w:pPr>
            <w:r>
              <w:rPr>
                <w:rFonts w:hint="eastAsia" w:ascii="宋体" w:hAnsi="宋体"/>
                <w:szCs w:val="21"/>
              </w:rPr>
              <w:t>单价（元）</w:t>
            </w:r>
          </w:p>
        </w:tc>
        <w:tc>
          <w:tcPr>
            <w:tcW w:w="1134" w:type="dxa"/>
            <w:tcBorders>
              <w:top w:val="single" w:color="auto" w:sz="4" w:space="0"/>
              <w:left w:val="single" w:color="auto" w:sz="4" w:space="0"/>
              <w:bottom w:val="single" w:color="auto" w:sz="4" w:space="0"/>
              <w:right w:val="single" w:color="auto" w:sz="4" w:space="0"/>
            </w:tcBorders>
            <w:vAlign w:val="center"/>
          </w:tcPr>
          <w:p w14:paraId="53F8F9C8">
            <w:pPr>
              <w:spacing w:line="360" w:lineRule="auto"/>
              <w:ind w:left="-94" w:leftChars="-45" w:right="-94" w:rightChars="-45"/>
              <w:rPr>
                <w:rFonts w:ascii="宋体" w:hAnsi="宋体" w:cs="Times New Roman"/>
                <w:szCs w:val="21"/>
              </w:rPr>
            </w:pPr>
            <w:r>
              <w:rPr>
                <w:rFonts w:hint="eastAsia" w:ascii="宋体" w:hAnsi="宋体"/>
                <w:szCs w:val="21"/>
              </w:rPr>
              <w:t>总计（元）</w:t>
            </w:r>
          </w:p>
        </w:tc>
        <w:tc>
          <w:tcPr>
            <w:tcW w:w="1276" w:type="dxa"/>
            <w:tcBorders>
              <w:top w:val="single" w:color="auto" w:sz="4" w:space="0"/>
              <w:left w:val="single" w:color="auto" w:sz="4" w:space="0"/>
              <w:bottom w:val="single" w:color="auto" w:sz="4" w:space="0"/>
              <w:right w:val="single" w:color="auto" w:sz="4" w:space="0"/>
            </w:tcBorders>
            <w:vAlign w:val="center"/>
          </w:tcPr>
          <w:p w14:paraId="11934DCB">
            <w:pPr>
              <w:spacing w:line="360" w:lineRule="auto"/>
              <w:ind w:left="-94" w:leftChars="-45" w:right="-94" w:rightChars="-45"/>
              <w:jc w:val="center"/>
              <w:rPr>
                <w:rFonts w:ascii="宋体" w:hAnsi="宋体" w:cs="Times New Roman"/>
                <w:szCs w:val="21"/>
              </w:rPr>
            </w:pPr>
            <w:r>
              <w:rPr>
                <w:rFonts w:hint="eastAsia" w:ascii="宋体" w:hAnsi="宋体"/>
                <w:szCs w:val="21"/>
              </w:rPr>
              <w:t>交货日期</w:t>
            </w:r>
          </w:p>
        </w:tc>
        <w:tc>
          <w:tcPr>
            <w:tcW w:w="1134" w:type="dxa"/>
            <w:tcBorders>
              <w:top w:val="single" w:color="auto" w:sz="4" w:space="0"/>
              <w:left w:val="single" w:color="auto" w:sz="4" w:space="0"/>
              <w:bottom w:val="single" w:color="auto" w:sz="4" w:space="0"/>
              <w:right w:val="single" w:color="auto" w:sz="4" w:space="0"/>
            </w:tcBorders>
            <w:vAlign w:val="center"/>
          </w:tcPr>
          <w:p w14:paraId="5B1C19F2">
            <w:pPr>
              <w:spacing w:line="360" w:lineRule="auto"/>
              <w:ind w:left="-94" w:leftChars="-45" w:right="-94" w:rightChars="-45"/>
              <w:jc w:val="center"/>
              <w:rPr>
                <w:rFonts w:ascii="宋体" w:hAnsi="宋体" w:cs="Times New Roman"/>
                <w:szCs w:val="21"/>
              </w:rPr>
            </w:pPr>
            <w:r>
              <w:rPr>
                <w:rFonts w:hint="eastAsia" w:ascii="宋体" w:hAnsi="宋体"/>
                <w:szCs w:val="21"/>
              </w:rPr>
              <w:t>备注</w:t>
            </w:r>
          </w:p>
        </w:tc>
      </w:tr>
      <w:tr w14:paraId="7AE5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vAlign w:val="center"/>
          </w:tcPr>
          <w:p w14:paraId="34A02A1D">
            <w:pPr>
              <w:spacing w:line="360" w:lineRule="auto"/>
              <w:ind w:left="-94" w:leftChars="-45" w:right="-94" w:rightChars="-45"/>
              <w:jc w:val="center"/>
              <w:rPr>
                <w:rFonts w:ascii="宋体" w:hAnsi="宋体" w:cs="Times New Roman"/>
                <w:szCs w:val="21"/>
              </w:rPr>
            </w:pPr>
            <w:r>
              <w:rPr>
                <w:rFonts w:hint="eastAsia" w:ascii="宋体" w:hAnsi="宋体"/>
                <w:szCs w:val="21"/>
              </w:rPr>
              <w:t>1</w:t>
            </w:r>
          </w:p>
        </w:tc>
        <w:tc>
          <w:tcPr>
            <w:tcW w:w="1560" w:type="dxa"/>
            <w:tcBorders>
              <w:top w:val="single" w:color="auto" w:sz="4" w:space="0"/>
              <w:left w:val="single" w:color="auto" w:sz="4" w:space="0"/>
              <w:bottom w:val="single" w:color="auto" w:sz="4" w:space="0"/>
              <w:right w:val="single" w:color="auto" w:sz="4" w:space="0"/>
            </w:tcBorders>
            <w:vAlign w:val="center"/>
          </w:tcPr>
          <w:p w14:paraId="7F7C7160">
            <w:pPr>
              <w:spacing w:line="360" w:lineRule="auto"/>
              <w:jc w:val="center"/>
              <w:rPr>
                <w:rFonts w:ascii="宋体" w:hAnsi="宋体" w:cs="Times New Roman"/>
                <w:szCs w:val="21"/>
              </w:rPr>
            </w:pPr>
            <w:r>
              <w:rPr>
                <w:rFonts w:hint="eastAsia" w:ascii="宋体" w:hAnsi="宋体"/>
                <w:szCs w:val="21"/>
              </w:rPr>
              <w:t>能源维护服务</w:t>
            </w:r>
          </w:p>
        </w:tc>
        <w:tc>
          <w:tcPr>
            <w:tcW w:w="708" w:type="dxa"/>
            <w:tcBorders>
              <w:top w:val="single" w:color="auto" w:sz="4" w:space="0"/>
              <w:left w:val="single" w:color="auto" w:sz="4" w:space="0"/>
              <w:bottom w:val="single" w:color="auto" w:sz="4" w:space="0"/>
              <w:right w:val="single" w:color="auto" w:sz="4" w:space="0"/>
            </w:tcBorders>
            <w:vAlign w:val="center"/>
          </w:tcPr>
          <w:p w14:paraId="64165DB8">
            <w:pPr>
              <w:spacing w:line="360" w:lineRule="auto"/>
              <w:ind w:left="-94" w:leftChars="-45" w:right="-94" w:rightChars="-45"/>
              <w:jc w:val="center"/>
              <w:rPr>
                <w:rFonts w:ascii="宋体" w:hAnsi="宋体" w:cs="Times New Roman"/>
                <w:szCs w:val="21"/>
              </w:rPr>
            </w:pPr>
            <w:r>
              <w:rPr>
                <w:rFonts w:hint="eastAsia" w:ascii="宋体" w:hAnsi="宋体"/>
                <w:szCs w:val="21"/>
              </w:rPr>
              <w:t>1</w:t>
            </w:r>
          </w:p>
        </w:tc>
        <w:tc>
          <w:tcPr>
            <w:tcW w:w="851" w:type="dxa"/>
            <w:tcBorders>
              <w:top w:val="single" w:color="auto" w:sz="4" w:space="0"/>
              <w:left w:val="single" w:color="auto" w:sz="4" w:space="0"/>
              <w:bottom w:val="single" w:color="auto" w:sz="4" w:space="0"/>
              <w:right w:val="single" w:color="auto" w:sz="4" w:space="0"/>
            </w:tcBorders>
            <w:vAlign w:val="center"/>
          </w:tcPr>
          <w:p w14:paraId="4916409F">
            <w:pPr>
              <w:spacing w:line="360" w:lineRule="auto"/>
              <w:ind w:left="-94" w:leftChars="-45" w:right="-94" w:rightChars="-45"/>
              <w:jc w:val="center"/>
              <w:rPr>
                <w:rFonts w:ascii="宋体" w:hAnsi="宋体" w:cs="Times New Roman"/>
                <w:szCs w:val="21"/>
              </w:rPr>
            </w:pPr>
            <w:r>
              <w:rPr>
                <w:rFonts w:hint="eastAsia" w:ascii="宋体" w:hAnsi="宋体"/>
                <w:szCs w:val="21"/>
              </w:rPr>
              <w:t>项</w:t>
            </w:r>
          </w:p>
        </w:tc>
        <w:tc>
          <w:tcPr>
            <w:tcW w:w="1134" w:type="dxa"/>
            <w:tcBorders>
              <w:top w:val="single" w:color="auto" w:sz="4" w:space="0"/>
              <w:left w:val="single" w:color="auto" w:sz="4" w:space="0"/>
              <w:bottom w:val="single" w:color="auto" w:sz="4" w:space="0"/>
              <w:right w:val="single" w:color="auto" w:sz="4" w:space="0"/>
            </w:tcBorders>
            <w:vAlign w:val="center"/>
          </w:tcPr>
          <w:p w14:paraId="75B9F95D">
            <w:pPr>
              <w:spacing w:line="360" w:lineRule="auto"/>
              <w:ind w:left="-94" w:leftChars="-45" w:right="-94" w:rightChars="-45"/>
              <w:jc w:val="center"/>
              <w:rPr>
                <w:rFonts w:ascii="宋体" w:hAnsi="宋体" w:cs="Times New Roman"/>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7AA04A4F">
            <w:pPr>
              <w:spacing w:line="360" w:lineRule="auto"/>
              <w:ind w:left="-94" w:leftChars="-45" w:right="-94" w:rightChars="-45"/>
              <w:jc w:val="center"/>
              <w:rPr>
                <w:rFonts w:ascii="宋体" w:hAnsi="宋体" w:cs="Times New Roman"/>
                <w:szCs w:val="21"/>
              </w:rPr>
            </w:pPr>
          </w:p>
        </w:tc>
        <w:tc>
          <w:tcPr>
            <w:tcW w:w="1276" w:type="dxa"/>
            <w:tcBorders>
              <w:top w:val="single" w:color="auto" w:sz="4" w:space="0"/>
              <w:left w:val="single" w:color="auto" w:sz="4" w:space="0"/>
              <w:bottom w:val="single" w:color="auto" w:sz="4" w:space="0"/>
              <w:right w:val="single" w:color="auto" w:sz="4" w:space="0"/>
            </w:tcBorders>
            <w:vAlign w:val="center"/>
          </w:tcPr>
          <w:p w14:paraId="724FBDB2">
            <w:pPr>
              <w:spacing w:line="360" w:lineRule="auto"/>
              <w:jc w:val="center"/>
              <w:rPr>
                <w:rFonts w:ascii="宋体" w:hAnsi="宋体" w:cs="Times New Roman"/>
                <w:szCs w:val="21"/>
              </w:rPr>
            </w:pPr>
            <w:r>
              <w:rPr>
                <w:rFonts w:hint="eastAsia" w:ascii="宋体" w:hAnsi="宋体"/>
                <w:szCs w:val="21"/>
              </w:rPr>
              <w:t>合同签订之日起，30日内</w:t>
            </w:r>
          </w:p>
        </w:tc>
        <w:tc>
          <w:tcPr>
            <w:tcW w:w="1134" w:type="dxa"/>
            <w:tcBorders>
              <w:top w:val="single" w:color="auto" w:sz="4" w:space="0"/>
              <w:left w:val="single" w:color="auto" w:sz="4" w:space="0"/>
              <w:bottom w:val="single" w:color="auto" w:sz="4" w:space="0"/>
              <w:right w:val="single" w:color="auto" w:sz="4" w:space="0"/>
            </w:tcBorders>
            <w:vAlign w:val="center"/>
          </w:tcPr>
          <w:p w14:paraId="782D3F63">
            <w:pPr>
              <w:spacing w:line="360" w:lineRule="auto"/>
              <w:jc w:val="center"/>
              <w:rPr>
                <w:rFonts w:ascii="宋体" w:hAnsi="宋体" w:cs="Times New Roman"/>
                <w:color w:val="FF0000"/>
                <w:szCs w:val="21"/>
              </w:rPr>
            </w:pPr>
          </w:p>
        </w:tc>
      </w:tr>
    </w:tbl>
    <w:p w14:paraId="55F2A6ED">
      <w:pPr>
        <w:spacing w:line="360" w:lineRule="auto"/>
        <w:ind w:firstLine="420" w:firstLineChars="200"/>
        <w:rPr>
          <w:rFonts w:hint="eastAsia" w:ascii="宋体" w:hAnsi="宋体" w:cs="Times New Roman"/>
          <w:sz w:val="28"/>
          <w:szCs w:val="22"/>
        </w:rPr>
      </w:pPr>
      <w:r>
        <w:rPr>
          <w:rFonts w:hint="eastAsia" w:ascii="宋体" w:hAnsi="宋体"/>
        </w:rPr>
        <w:t>上述合同总价为固定不变价，完成西安市中心血站能源维修维护服务。包含乙方将货物运送至指定交货地点并交付给甲方之前的全部费用（包括但不限于：成本及利润、税金、运输费、软件费、仓储费等）及服务期内非人为损坏的零件（单价≤500元）费用。</w:t>
      </w:r>
    </w:p>
    <w:p w14:paraId="58FAA5F1">
      <w:pPr>
        <w:pStyle w:val="11"/>
        <w:numPr>
          <w:ilvl w:val="0"/>
          <w:numId w:val="1"/>
        </w:numPr>
        <w:spacing w:line="360" w:lineRule="auto"/>
        <w:ind w:firstLineChars="0"/>
        <w:rPr>
          <w:rFonts w:hint="eastAsia" w:ascii="宋体" w:hAnsi="宋体"/>
          <w:b/>
          <w:szCs w:val="24"/>
        </w:rPr>
      </w:pPr>
      <w:r>
        <w:rPr>
          <w:rFonts w:hint="eastAsia" w:ascii="宋体" w:hAnsi="宋体"/>
          <w:b/>
          <w:szCs w:val="24"/>
        </w:rPr>
        <w:t>甲方发票开具信息</w:t>
      </w:r>
    </w:p>
    <w:p w14:paraId="22BCF235">
      <w:pPr>
        <w:spacing w:line="360" w:lineRule="auto"/>
        <w:ind w:firstLine="840" w:firstLineChars="400"/>
        <w:rPr>
          <w:rFonts w:hint="eastAsia" w:ascii="宋体" w:hAnsi="宋体"/>
        </w:rPr>
      </w:pPr>
      <w:r>
        <w:rPr>
          <w:rFonts w:hint="eastAsia" w:ascii="宋体" w:hAnsi="宋体"/>
        </w:rPr>
        <w:t>单位名称：西安市中心血站</w:t>
      </w:r>
    </w:p>
    <w:p w14:paraId="45A4A50F">
      <w:pPr>
        <w:spacing w:line="360" w:lineRule="auto"/>
        <w:ind w:firstLine="840" w:firstLineChars="400"/>
        <w:rPr>
          <w:rFonts w:hint="eastAsia" w:ascii="宋体" w:hAnsi="宋体"/>
        </w:rPr>
      </w:pPr>
      <w:r>
        <w:rPr>
          <w:rFonts w:hint="eastAsia" w:ascii="宋体" w:hAnsi="宋体"/>
        </w:rPr>
        <w:t xml:space="preserve">纳税人识别号：126101004372030973 </w:t>
      </w:r>
    </w:p>
    <w:p w14:paraId="585D0711">
      <w:pPr>
        <w:spacing w:line="360" w:lineRule="auto"/>
        <w:ind w:firstLine="840" w:firstLineChars="400"/>
        <w:rPr>
          <w:rFonts w:hint="eastAsia" w:ascii="宋体" w:hAnsi="宋体"/>
        </w:rPr>
      </w:pPr>
      <w:r>
        <w:rPr>
          <w:rFonts w:hint="eastAsia" w:ascii="宋体" w:hAnsi="宋体"/>
        </w:rPr>
        <w:t>单位地址：西安市朱雀大街407号</w:t>
      </w:r>
    </w:p>
    <w:p w14:paraId="03E4F01F">
      <w:pPr>
        <w:spacing w:line="360" w:lineRule="auto"/>
        <w:ind w:firstLine="840" w:firstLineChars="400"/>
        <w:rPr>
          <w:rFonts w:hint="eastAsia" w:ascii="宋体" w:hAnsi="宋体"/>
        </w:rPr>
      </w:pPr>
      <w:r>
        <w:rPr>
          <w:rFonts w:hint="eastAsia" w:ascii="宋体" w:hAnsi="宋体"/>
        </w:rPr>
        <w:t>开户行及账号：招商银行西影路支行129904468910201</w:t>
      </w:r>
    </w:p>
    <w:p w14:paraId="00DC79AE">
      <w:pPr>
        <w:pStyle w:val="11"/>
        <w:numPr>
          <w:ilvl w:val="0"/>
          <w:numId w:val="1"/>
        </w:numPr>
        <w:spacing w:line="360" w:lineRule="auto"/>
        <w:ind w:firstLineChars="0"/>
        <w:rPr>
          <w:rFonts w:hint="eastAsia" w:ascii="宋体" w:hAnsi="宋体"/>
          <w:szCs w:val="24"/>
        </w:rPr>
      </w:pPr>
      <w:r>
        <w:rPr>
          <w:rFonts w:hint="eastAsia" w:ascii="宋体" w:hAnsi="宋体"/>
          <w:b/>
          <w:bCs/>
          <w:szCs w:val="24"/>
        </w:rPr>
        <w:t>乙方收款账户信息</w:t>
      </w:r>
    </w:p>
    <w:p w14:paraId="2534C654">
      <w:pPr>
        <w:pStyle w:val="11"/>
        <w:ind w:left="862" w:firstLine="0" w:firstLineChars="0"/>
        <w:rPr>
          <w:rFonts w:hint="eastAsia" w:ascii="宋体" w:hAnsi="宋体"/>
          <w:szCs w:val="24"/>
        </w:rPr>
      </w:pPr>
      <w:r>
        <w:rPr>
          <w:rFonts w:hint="eastAsia" w:ascii="宋体" w:hAnsi="宋体"/>
          <w:szCs w:val="24"/>
        </w:rPr>
        <w:t xml:space="preserve">公司名称： </w:t>
      </w:r>
    </w:p>
    <w:p w14:paraId="74A94E3E">
      <w:pPr>
        <w:pStyle w:val="11"/>
        <w:ind w:left="862" w:firstLine="0" w:firstLineChars="0"/>
        <w:rPr>
          <w:rFonts w:hint="eastAsia" w:ascii="宋体" w:hAnsi="宋体"/>
          <w:szCs w:val="24"/>
        </w:rPr>
      </w:pPr>
      <w:r>
        <w:rPr>
          <w:rFonts w:hint="eastAsia" w:ascii="宋体" w:hAnsi="宋体"/>
          <w:szCs w:val="24"/>
        </w:rPr>
        <w:t xml:space="preserve">开 户 行： </w:t>
      </w:r>
    </w:p>
    <w:p w14:paraId="1E2BA20A">
      <w:pPr>
        <w:pStyle w:val="11"/>
        <w:ind w:left="862" w:firstLine="0" w:firstLineChars="0"/>
        <w:rPr>
          <w:rFonts w:hint="eastAsia" w:ascii="宋体" w:hAnsi="宋体"/>
          <w:szCs w:val="24"/>
        </w:rPr>
      </w:pPr>
      <w:r>
        <w:rPr>
          <w:rFonts w:hint="eastAsia" w:ascii="宋体" w:hAnsi="宋体"/>
          <w:szCs w:val="24"/>
        </w:rPr>
        <w:t>银行账号：</w:t>
      </w:r>
    </w:p>
    <w:p w14:paraId="0AF41EF2">
      <w:pPr>
        <w:pStyle w:val="11"/>
        <w:numPr>
          <w:ilvl w:val="0"/>
          <w:numId w:val="1"/>
        </w:numPr>
        <w:ind w:firstLineChars="0"/>
        <w:rPr>
          <w:rFonts w:hint="eastAsia" w:ascii="宋体" w:hAnsi="宋体"/>
          <w:szCs w:val="24"/>
        </w:rPr>
      </w:pPr>
      <w:r>
        <w:rPr>
          <w:rFonts w:hint="eastAsia" w:ascii="宋体" w:hAnsi="宋体"/>
          <w:b/>
          <w:bCs/>
          <w:szCs w:val="24"/>
        </w:rPr>
        <w:t>服务内容</w:t>
      </w:r>
    </w:p>
    <w:p w14:paraId="5253DE10">
      <w:pPr>
        <w:pStyle w:val="11"/>
        <w:numPr>
          <w:ilvl w:val="0"/>
          <w:numId w:val="2"/>
        </w:numPr>
        <w:spacing w:line="480" w:lineRule="auto"/>
        <w:ind w:left="709" w:hanging="142" w:firstLineChars="0"/>
        <w:rPr>
          <w:rFonts w:hint="eastAsia" w:ascii="宋体" w:hAnsi="宋体"/>
          <w:szCs w:val="24"/>
        </w:rPr>
      </w:pPr>
      <w:r>
        <w:rPr>
          <w:rFonts w:hint="eastAsia" w:ascii="宋体" w:hAnsi="宋体"/>
          <w:szCs w:val="24"/>
        </w:rPr>
        <w:t>对</w:t>
      </w:r>
      <w:r>
        <w:rPr>
          <w:rFonts w:hint="eastAsia" w:ascii="宋体" w:hAnsi="宋体" w:cs="宋体"/>
          <w:shd w:val="clear" w:color="auto" w:fill="FFFFFF"/>
        </w:rPr>
        <w:t>中心血站供电及暖通系统进行全面摸排（无竣工图纸），绘制CAD图纸</w:t>
      </w:r>
      <w:r>
        <w:rPr>
          <w:rFonts w:hint="eastAsia" w:ascii="宋体" w:hAnsi="宋体"/>
          <w:szCs w:val="24"/>
        </w:rPr>
        <w:t>。</w:t>
      </w:r>
    </w:p>
    <w:p w14:paraId="767AF5D5">
      <w:pPr>
        <w:pStyle w:val="11"/>
        <w:numPr>
          <w:ilvl w:val="0"/>
          <w:numId w:val="2"/>
        </w:numPr>
        <w:tabs>
          <w:tab w:val="left" w:pos="851"/>
        </w:tabs>
        <w:spacing w:line="480" w:lineRule="auto"/>
        <w:ind w:left="709" w:hanging="142" w:firstLineChars="0"/>
        <w:rPr>
          <w:rFonts w:hint="eastAsia" w:ascii="宋体" w:hAnsi="宋体"/>
          <w:szCs w:val="24"/>
          <w:highlight w:val="none"/>
        </w:rPr>
      </w:pPr>
      <w:r>
        <w:rPr>
          <w:rFonts w:hint="eastAsia" w:ascii="宋体" w:hAnsi="宋体"/>
          <w:szCs w:val="24"/>
        </w:rPr>
        <w:t>部署数据采集设备，加装智能电表，部署物</w:t>
      </w:r>
      <w:r>
        <w:rPr>
          <w:rFonts w:hint="eastAsia" w:ascii="宋体" w:hAnsi="宋体"/>
          <w:szCs w:val="24"/>
          <w:highlight w:val="none"/>
        </w:rPr>
        <w:t>联网通讯网关。加装智能电表</w:t>
      </w:r>
      <w:r>
        <w:rPr>
          <w:rFonts w:hint="eastAsia" w:ascii="宋体" w:hAnsi="宋体"/>
          <w:szCs w:val="24"/>
          <w:highlight w:val="none"/>
          <w:lang w:val="en-US" w:eastAsia="zh-CN"/>
        </w:rPr>
        <w:t>80</w:t>
      </w:r>
      <w:r>
        <w:rPr>
          <w:rFonts w:hint="eastAsia" w:ascii="宋体" w:hAnsi="宋体"/>
          <w:szCs w:val="24"/>
          <w:highlight w:val="none"/>
        </w:rPr>
        <w:t>套、部署物联网通讯网关40套</w:t>
      </w:r>
      <w:r>
        <w:rPr>
          <w:rFonts w:hint="eastAsia" w:ascii="宋体" w:hAnsi="宋体"/>
          <w:szCs w:val="24"/>
          <w:highlight w:val="none"/>
          <w:lang w:eastAsia="zh-CN"/>
        </w:rPr>
        <w:t>，</w:t>
      </w:r>
      <w:r>
        <w:rPr>
          <w:rFonts w:hint="eastAsia" w:ascii="宋体" w:hAnsi="宋体"/>
          <w:szCs w:val="24"/>
          <w:highlight w:val="none"/>
        </w:rPr>
        <w:t>设备数量</w:t>
      </w:r>
      <w:r>
        <w:rPr>
          <w:rFonts w:hint="eastAsia"/>
          <w:highlight w:val="none"/>
        </w:rPr>
        <w:t>浮动</w:t>
      </w:r>
      <w:r>
        <w:rPr>
          <w:rFonts w:hint="eastAsia" w:ascii="宋体" w:hAnsi="宋体"/>
          <w:szCs w:val="24"/>
          <w:highlight w:val="none"/>
        </w:rPr>
        <w:t>±5%台内，超出部分另行协商费用。</w:t>
      </w:r>
    </w:p>
    <w:p w14:paraId="197C19CA">
      <w:pPr>
        <w:pStyle w:val="11"/>
        <w:numPr>
          <w:ilvl w:val="0"/>
          <w:numId w:val="2"/>
        </w:numPr>
        <w:spacing w:line="480" w:lineRule="auto"/>
        <w:ind w:left="709" w:hanging="142" w:firstLineChars="0"/>
        <w:rPr>
          <w:rFonts w:hint="eastAsia" w:ascii="宋体" w:hAnsi="宋体"/>
          <w:szCs w:val="24"/>
        </w:rPr>
      </w:pPr>
      <w:r>
        <w:rPr>
          <w:rFonts w:hint="eastAsia" w:ascii="宋体" w:hAnsi="宋体"/>
          <w:szCs w:val="24"/>
          <w:highlight w:val="none"/>
        </w:rPr>
        <w:t>线路铺设，</w:t>
      </w:r>
      <w:r>
        <w:rPr>
          <w:rFonts w:hint="eastAsia" w:ascii="宋体" w:hAnsi="宋体" w:cs="宋体"/>
          <w:highlight w:val="none"/>
          <w:shd w:val="clear" w:color="auto" w:fill="FFFFFF"/>
        </w:rPr>
        <w:t>智能电能表与物联通讯网关之间采用RS48</w:t>
      </w:r>
      <w:r>
        <w:rPr>
          <w:rFonts w:hint="eastAsia" w:ascii="宋体" w:hAnsi="宋体" w:cs="宋体"/>
          <w:shd w:val="clear" w:color="auto" w:fill="FFFFFF"/>
        </w:rPr>
        <w:t>5通讯线缆连接，新旧楼之间物联网网关采用TCP/IP协议，通过网线连接至本单位外网交换机，户外22个网点采用物联网网关采用4G/5G通讯方式。</w:t>
      </w:r>
    </w:p>
    <w:p w14:paraId="3DE18061">
      <w:pPr>
        <w:pStyle w:val="11"/>
        <w:numPr>
          <w:ilvl w:val="0"/>
          <w:numId w:val="2"/>
        </w:numPr>
        <w:spacing w:line="480" w:lineRule="auto"/>
        <w:ind w:left="709" w:hanging="142" w:firstLineChars="0"/>
        <w:rPr>
          <w:rFonts w:hint="eastAsia" w:ascii="宋体" w:hAnsi="宋体"/>
          <w:szCs w:val="24"/>
        </w:rPr>
      </w:pPr>
      <w:r>
        <w:rPr>
          <w:rFonts w:hint="eastAsia" w:ascii="宋体" w:hAnsi="宋体"/>
          <w:szCs w:val="24"/>
        </w:rPr>
        <w:t>能耗监测平台搭建。平台搭建完成后，基于能耗数据，提交</w:t>
      </w:r>
      <w:r>
        <w:rPr>
          <w:rFonts w:hint="eastAsia" w:ascii="宋体" w:hAnsi="宋体" w:cs="宋体"/>
          <w:shd w:val="clear" w:color="auto" w:fill="FFFFFF"/>
        </w:rPr>
        <w:t>节能建议报告书（纸质版+电子版）。</w:t>
      </w:r>
    </w:p>
    <w:p w14:paraId="0F06DBAA">
      <w:pPr>
        <w:pStyle w:val="11"/>
        <w:numPr>
          <w:ilvl w:val="0"/>
          <w:numId w:val="2"/>
        </w:numPr>
        <w:spacing w:line="480" w:lineRule="auto"/>
        <w:ind w:left="709" w:hanging="142" w:firstLineChars="0"/>
        <w:rPr>
          <w:rFonts w:hint="eastAsia" w:ascii="宋体" w:hAnsi="宋体"/>
          <w:szCs w:val="24"/>
          <w:highlight w:val="none"/>
        </w:rPr>
      </w:pPr>
      <w:r>
        <w:rPr>
          <w:rFonts w:hint="eastAsia" w:ascii="宋体" w:hAnsi="宋体"/>
          <w:szCs w:val="24"/>
        </w:rPr>
        <w:t>用能设备及设施的档案建立及维护保养。包含中央空调系统（多联机）466台、新风空调系统48台、移动（分体）空调100台、配电柜240部、</w:t>
      </w:r>
      <w:r>
        <w:rPr>
          <w:rFonts w:hint="eastAsia" w:ascii="宋体" w:hAnsi="宋体"/>
          <w:szCs w:val="24"/>
          <w:highlight w:val="none"/>
        </w:rPr>
        <w:t>发电机组2台，设备数量</w:t>
      </w:r>
      <w:r>
        <w:rPr>
          <w:rFonts w:hint="eastAsia"/>
          <w:highlight w:val="none"/>
        </w:rPr>
        <w:t>浮动</w:t>
      </w:r>
      <w:r>
        <w:rPr>
          <w:rFonts w:hint="eastAsia" w:ascii="宋体" w:hAnsi="宋体"/>
          <w:szCs w:val="24"/>
          <w:highlight w:val="none"/>
        </w:rPr>
        <w:t>±5%台内，超出部分另行协商费用。</w:t>
      </w:r>
    </w:p>
    <w:p w14:paraId="6A95EECD">
      <w:pPr>
        <w:pStyle w:val="11"/>
        <w:numPr>
          <w:ilvl w:val="0"/>
          <w:numId w:val="2"/>
        </w:numPr>
        <w:spacing w:line="480" w:lineRule="auto"/>
        <w:ind w:left="709" w:hanging="142" w:firstLineChars="0"/>
        <w:rPr>
          <w:rFonts w:hint="eastAsia" w:ascii="宋体" w:hAnsi="宋体"/>
          <w:szCs w:val="24"/>
          <w:highlight w:val="none"/>
        </w:rPr>
      </w:pPr>
      <w:r>
        <w:rPr>
          <w:rFonts w:hint="eastAsia" w:ascii="宋体" w:hAnsi="宋体"/>
          <w:szCs w:val="24"/>
          <w:highlight w:val="none"/>
          <w:lang w:val="en-US" w:eastAsia="zh-CN"/>
        </w:rPr>
        <w:t>具体服务内容以文件“3.2.2服务要求”为准。</w:t>
      </w:r>
    </w:p>
    <w:p w14:paraId="1525B4BE">
      <w:pPr>
        <w:pStyle w:val="11"/>
        <w:numPr>
          <w:ilvl w:val="0"/>
          <w:numId w:val="1"/>
        </w:numPr>
        <w:ind w:firstLineChars="0"/>
        <w:rPr>
          <w:rFonts w:hint="eastAsia" w:ascii="宋体" w:hAnsi="宋体"/>
          <w:b/>
          <w:szCs w:val="24"/>
          <w:highlight w:val="none"/>
        </w:rPr>
      </w:pPr>
      <w:r>
        <w:rPr>
          <w:rFonts w:hint="eastAsia" w:ascii="宋体" w:hAnsi="宋体"/>
          <w:b/>
          <w:szCs w:val="24"/>
          <w:highlight w:val="none"/>
        </w:rPr>
        <w:t>质量标准</w:t>
      </w:r>
    </w:p>
    <w:p w14:paraId="6293A866">
      <w:pPr>
        <w:pStyle w:val="11"/>
        <w:spacing w:line="480" w:lineRule="auto"/>
        <w:ind w:left="284" w:firstLine="434" w:firstLineChars="181"/>
        <w:rPr>
          <w:rFonts w:hint="eastAsia" w:ascii="宋体" w:hAnsi="宋体"/>
          <w:b/>
          <w:szCs w:val="24"/>
        </w:rPr>
      </w:pPr>
      <w:r>
        <w:rPr>
          <w:rFonts w:hint="eastAsia" w:ascii="宋体" w:hAnsi="宋体"/>
          <w:szCs w:val="24"/>
        </w:rPr>
        <w:t>货物必须符合相关的国家标准。并按照甲方要求的规格型号、数量进行供货。乙方保证货物是符合适用标准的、全新的、未经使用的，且符合本合同规定质量和规格等要求。本合同采购根据甲方的采购文件经过公开评审后确定，采购文件规定内容与本合同条款具有同等法律效力，冲突之处，以有利于甲方的原则确认。</w:t>
      </w:r>
    </w:p>
    <w:p w14:paraId="55B046EA">
      <w:pPr>
        <w:pStyle w:val="11"/>
        <w:numPr>
          <w:ilvl w:val="0"/>
          <w:numId w:val="1"/>
        </w:numPr>
        <w:ind w:firstLineChars="0"/>
        <w:rPr>
          <w:rFonts w:hint="eastAsia" w:ascii="宋体" w:hAnsi="宋体"/>
          <w:b/>
          <w:szCs w:val="24"/>
        </w:rPr>
      </w:pPr>
      <w:r>
        <w:rPr>
          <w:rFonts w:hint="eastAsia" w:ascii="宋体" w:hAnsi="宋体"/>
          <w:b/>
          <w:bCs/>
          <w:szCs w:val="24"/>
        </w:rPr>
        <w:t>包装标准和包装物供应与回收</w:t>
      </w:r>
    </w:p>
    <w:p w14:paraId="669D747E">
      <w:pPr>
        <w:pStyle w:val="11"/>
        <w:spacing w:line="480" w:lineRule="auto"/>
        <w:ind w:left="284" w:firstLine="434" w:firstLineChars="181"/>
        <w:rPr>
          <w:rFonts w:hint="eastAsia" w:ascii="宋体" w:hAnsi="宋体"/>
          <w:b/>
          <w:szCs w:val="24"/>
        </w:rPr>
      </w:pPr>
      <w:r>
        <w:rPr>
          <w:rFonts w:hint="eastAsia" w:ascii="宋体" w:hAnsi="宋体"/>
          <w:szCs w:val="24"/>
        </w:rPr>
        <w:t>符合国家公路运输包装及设备包装标准的要求，费用由乙方(出卖人)承担。</w:t>
      </w:r>
    </w:p>
    <w:p w14:paraId="418AFEC8">
      <w:pPr>
        <w:pStyle w:val="11"/>
        <w:numPr>
          <w:ilvl w:val="0"/>
          <w:numId w:val="1"/>
        </w:numPr>
        <w:ind w:firstLineChars="0"/>
        <w:rPr>
          <w:rFonts w:hint="eastAsia" w:ascii="宋体" w:hAnsi="宋体"/>
          <w:b/>
          <w:szCs w:val="24"/>
        </w:rPr>
      </w:pPr>
      <w:r>
        <w:rPr>
          <w:rFonts w:hint="eastAsia" w:ascii="宋体" w:hAnsi="宋体"/>
          <w:b/>
          <w:bCs/>
          <w:szCs w:val="24"/>
        </w:rPr>
        <w:t>随机的必备品、配件、工具数量及供应办法</w:t>
      </w:r>
    </w:p>
    <w:p w14:paraId="0C5D25E9">
      <w:pPr>
        <w:pStyle w:val="11"/>
        <w:ind w:left="284" w:firstLine="434" w:firstLineChars="181"/>
        <w:rPr>
          <w:rFonts w:hint="eastAsia" w:ascii="宋体" w:hAnsi="宋体"/>
          <w:b/>
          <w:szCs w:val="24"/>
        </w:rPr>
      </w:pPr>
      <w:r>
        <w:rPr>
          <w:rFonts w:hint="eastAsia" w:ascii="宋体" w:hAnsi="宋体"/>
          <w:szCs w:val="24"/>
        </w:rPr>
        <w:t>随机的资料齐全，包括说明书、合格证、产品资质证明等。</w:t>
      </w:r>
    </w:p>
    <w:p w14:paraId="6C841AA8">
      <w:pPr>
        <w:pStyle w:val="11"/>
        <w:numPr>
          <w:ilvl w:val="0"/>
          <w:numId w:val="1"/>
        </w:numPr>
        <w:ind w:firstLineChars="0"/>
        <w:rPr>
          <w:rFonts w:hint="eastAsia" w:ascii="宋体" w:hAnsi="宋体"/>
          <w:b/>
          <w:szCs w:val="24"/>
        </w:rPr>
      </w:pPr>
      <w:r>
        <w:rPr>
          <w:rFonts w:hint="eastAsia" w:ascii="宋体" w:hAnsi="宋体"/>
          <w:b/>
          <w:bCs/>
          <w:szCs w:val="24"/>
        </w:rPr>
        <w:t>交（提）卸货费用、方式和地点</w:t>
      </w:r>
    </w:p>
    <w:p w14:paraId="22FF9605">
      <w:pPr>
        <w:pStyle w:val="11"/>
        <w:spacing w:line="480" w:lineRule="auto"/>
        <w:ind w:left="284" w:firstLine="434" w:firstLineChars="181"/>
        <w:rPr>
          <w:rFonts w:hint="eastAsia" w:ascii="宋体" w:hAnsi="宋体"/>
          <w:b/>
          <w:szCs w:val="24"/>
        </w:rPr>
      </w:pPr>
      <w:r>
        <w:rPr>
          <w:rFonts w:hint="eastAsia" w:ascii="宋体" w:hAnsi="宋体"/>
          <w:szCs w:val="24"/>
        </w:rPr>
        <w:t>甲方指定地点，乙方(出卖人)负责公路运输、卸货，费用由乙方(出卖人)负责。</w:t>
      </w:r>
    </w:p>
    <w:p w14:paraId="422B0260">
      <w:pPr>
        <w:pStyle w:val="11"/>
        <w:numPr>
          <w:ilvl w:val="0"/>
          <w:numId w:val="1"/>
        </w:numPr>
        <w:ind w:firstLineChars="0"/>
        <w:rPr>
          <w:rFonts w:hint="eastAsia" w:ascii="宋体" w:hAnsi="宋体"/>
          <w:b/>
          <w:szCs w:val="24"/>
        </w:rPr>
      </w:pPr>
      <w:r>
        <w:rPr>
          <w:rFonts w:hint="eastAsia" w:ascii="宋体" w:hAnsi="宋体"/>
          <w:b/>
          <w:bCs/>
          <w:szCs w:val="24"/>
        </w:rPr>
        <w:t>运输方式及到达站（港）和费用负担</w:t>
      </w:r>
    </w:p>
    <w:p w14:paraId="0706FE6F">
      <w:pPr>
        <w:pStyle w:val="11"/>
        <w:ind w:left="720" w:firstLine="0" w:firstLineChars="0"/>
        <w:rPr>
          <w:rFonts w:hint="eastAsia" w:ascii="宋体" w:hAnsi="宋体"/>
          <w:b/>
          <w:szCs w:val="24"/>
        </w:rPr>
      </w:pPr>
      <w:r>
        <w:rPr>
          <w:rFonts w:hint="eastAsia" w:ascii="宋体" w:hAnsi="宋体"/>
          <w:szCs w:val="24"/>
        </w:rPr>
        <w:t>运费、装卸费包含在价款中。</w:t>
      </w:r>
    </w:p>
    <w:p w14:paraId="325BAED5">
      <w:pPr>
        <w:pStyle w:val="11"/>
        <w:numPr>
          <w:ilvl w:val="0"/>
          <w:numId w:val="1"/>
        </w:numPr>
        <w:ind w:firstLineChars="0"/>
        <w:rPr>
          <w:rFonts w:hint="eastAsia" w:ascii="宋体" w:hAnsi="宋体"/>
          <w:b/>
          <w:szCs w:val="24"/>
          <w:highlight w:val="none"/>
        </w:rPr>
      </w:pPr>
      <w:r>
        <w:rPr>
          <w:rFonts w:hint="eastAsia" w:ascii="宋体" w:hAnsi="宋体"/>
          <w:b/>
          <w:bCs/>
          <w:szCs w:val="24"/>
        </w:rPr>
        <w:t>检验标准、</w:t>
      </w:r>
      <w:r>
        <w:rPr>
          <w:rFonts w:hint="eastAsia" w:ascii="宋体" w:hAnsi="宋体"/>
          <w:b/>
          <w:bCs/>
          <w:szCs w:val="24"/>
          <w:highlight w:val="none"/>
        </w:rPr>
        <w:t>方法、地点及期限</w:t>
      </w:r>
    </w:p>
    <w:p w14:paraId="390A1199">
      <w:pPr>
        <w:pStyle w:val="11"/>
        <w:numPr>
          <w:ilvl w:val="0"/>
          <w:numId w:val="3"/>
        </w:numPr>
        <w:spacing w:line="480" w:lineRule="auto"/>
        <w:ind w:left="284" w:firstLine="434" w:firstLineChars="181"/>
        <w:rPr>
          <w:rFonts w:hint="default" w:ascii="宋体" w:hAnsi="宋体" w:eastAsia="宋体" w:cs="宋体"/>
          <w:color w:val="333333"/>
          <w:sz w:val="24"/>
          <w:highlight w:val="none"/>
          <w:shd w:val="clear" w:color="auto" w:fill="FFFFFF"/>
          <w:lang w:val="en-US" w:eastAsia="zh-CN"/>
        </w:rPr>
      </w:pPr>
      <w:r>
        <w:rPr>
          <w:rFonts w:hint="eastAsia" w:ascii="宋体" w:hAnsi="宋体"/>
          <w:szCs w:val="24"/>
          <w:highlight w:val="none"/>
        </w:rPr>
        <w:t>对中心血站供电及暖通系统进行全面摸排，掌握电力系统、暖通系统管路线路的分配及走向，核查重点用能区域后期线路改造情况，根据摸排情况，提交《供电系统现状分析报告》及数字化结构图纸（CAD格式）。</w:t>
      </w:r>
      <w:r>
        <w:rPr>
          <w:rFonts w:hint="eastAsia" w:ascii="宋体" w:hAnsi="宋体"/>
          <w:szCs w:val="24"/>
          <w:highlight w:val="none"/>
          <w:lang w:val="en-US" w:eastAsia="zh-CN"/>
        </w:rPr>
        <w:t>提供报告后，对摸排情况进行验收。</w:t>
      </w:r>
    </w:p>
    <w:p w14:paraId="1D016997">
      <w:pPr>
        <w:pStyle w:val="11"/>
        <w:numPr>
          <w:ilvl w:val="0"/>
          <w:numId w:val="3"/>
        </w:numPr>
        <w:spacing w:line="480" w:lineRule="auto"/>
        <w:ind w:left="284" w:firstLine="434" w:firstLineChars="181"/>
        <w:rPr>
          <w:rFonts w:hint="eastAsia" w:ascii="宋体" w:hAnsi="宋体"/>
          <w:szCs w:val="24"/>
          <w:highlight w:val="none"/>
          <w:lang w:eastAsia="zh-CN"/>
        </w:rPr>
      </w:pPr>
      <w:r>
        <w:rPr>
          <w:rFonts w:hint="eastAsia" w:ascii="宋体" w:hAnsi="宋体"/>
          <w:szCs w:val="24"/>
          <w:highlight w:val="none"/>
          <w:lang w:val="en-US" w:eastAsia="zh-CN"/>
        </w:rPr>
        <w:t>按照时间要求</w:t>
      </w:r>
      <w:r>
        <w:rPr>
          <w:rFonts w:hint="eastAsia" w:ascii="宋体" w:hAnsi="宋体"/>
          <w:szCs w:val="24"/>
          <w:highlight w:val="none"/>
        </w:rPr>
        <w:t>部署数据采集设备，加装智能电表，部署物联网通讯网关</w:t>
      </w:r>
      <w:r>
        <w:rPr>
          <w:rFonts w:hint="eastAsia" w:ascii="宋体" w:hAnsi="宋体"/>
          <w:szCs w:val="24"/>
          <w:highlight w:val="none"/>
          <w:lang w:eastAsia="zh-CN"/>
        </w:rPr>
        <w:t>，</w:t>
      </w:r>
      <w:r>
        <w:rPr>
          <w:rFonts w:hint="eastAsia" w:ascii="宋体" w:hAnsi="宋体"/>
          <w:szCs w:val="24"/>
          <w:highlight w:val="none"/>
        </w:rPr>
        <w:t>线路铺设</w:t>
      </w:r>
      <w:r>
        <w:rPr>
          <w:rFonts w:hint="eastAsia" w:ascii="宋体" w:hAnsi="宋体"/>
          <w:szCs w:val="24"/>
          <w:highlight w:val="none"/>
          <w:lang w:val="en-US" w:eastAsia="zh-CN"/>
        </w:rPr>
        <w:t>等，并进行</w:t>
      </w:r>
      <w:r>
        <w:rPr>
          <w:rFonts w:hint="eastAsia" w:ascii="宋体" w:hAnsi="宋体"/>
          <w:szCs w:val="24"/>
          <w:highlight w:val="none"/>
        </w:rPr>
        <w:t>能耗监测平台搭建。</w:t>
      </w:r>
      <w:r>
        <w:rPr>
          <w:rFonts w:hint="eastAsia" w:ascii="宋体" w:hAnsi="宋体"/>
          <w:szCs w:val="24"/>
          <w:highlight w:val="none"/>
          <w:lang w:val="en-US" w:eastAsia="zh-CN"/>
        </w:rPr>
        <w:t>在搭建安装完成后对设备情况、设备功能实现情况、</w:t>
      </w:r>
      <w:r>
        <w:rPr>
          <w:rFonts w:hint="eastAsia" w:ascii="宋体" w:hAnsi="宋体"/>
          <w:szCs w:val="24"/>
          <w:highlight w:val="none"/>
        </w:rPr>
        <w:t>平台搭建完成</w:t>
      </w:r>
      <w:r>
        <w:rPr>
          <w:rFonts w:hint="eastAsia" w:ascii="宋体" w:hAnsi="宋体"/>
          <w:szCs w:val="24"/>
          <w:highlight w:val="none"/>
          <w:lang w:val="en-US" w:eastAsia="zh-CN"/>
        </w:rPr>
        <w:t>情况进行验收。</w:t>
      </w:r>
    </w:p>
    <w:p w14:paraId="6662F6D3">
      <w:pPr>
        <w:pStyle w:val="11"/>
        <w:numPr>
          <w:ilvl w:val="0"/>
          <w:numId w:val="3"/>
        </w:numPr>
        <w:spacing w:line="480" w:lineRule="auto"/>
        <w:ind w:left="284" w:firstLine="434" w:firstLineChars="181"/>
        <w:rPr>
          <w:rFonts w:hint="default" w:ascii="宋体" w:hAnsi="宋体" w:eastAsia="宋体" w:cs="宋体"/>
          <w:color w:val="333333"/>
          <w:sz w:val="24"/>
          <w:highlight w:val="none"/>
          <w:shd w:val="clear" w:color="auto" w:fill="FFFFFF"/>
          <w:lang w:val="en-US" w:eastAsia="zh-CN"/>
        </w:rPr>
      </w:pPr>
      <w:r>
        <w:rPr>
          <w:rFonts w:hint="eastAsia" w:ascii="宋体" w:hAnsi="宋体"/>
          <w:szCs w:val="24"/>
          <w:highlight w:val="none"/>
        </w:rPr>
        <w:t>维保单位须对原有设备进行登记造册，建立设备档案并且和各使用单位相互对接，同步档案编号、内容等信息</w:t>
      </w:r>
      <w:r>
        <w:rPr>
          <w:rFonts w:hint="eastAsia" w:ascii="宋体" w:hAnsi="宋体"/>
          <w:szCs w:val="24"/>
          <w:highlight w:val="none"/>
          <w:lang w:val="en-US" w:eastAsia="zh-CN"/>
        </w:rPr>
        <w:t>，并制定所有设备维保计划。对登记造册内容及维保计划进行验收。</w:t>
      </w:r>
    </w:p>
    <w:p w14:paraId="2A984A10">
      <w:pPr>
        <w:pStyle w:val="11"/>
        <w:numPr>
          <w:ilvl w:val="0"/>
          <w:numId w:val="1"/>
        </w:numPr>
        <w:ind w:firstLineChars="0"/>
        <w:rPr>
          <w:rFonts w:hint="eastAsia" w:ascii="宋体" w:hAnsi="宋体"/>
          <w:b/>
          <w:szCs w:val="24"/>
        </w:rPr>
      </w:pPr>
      <w:r>
        <w:rPr>
          <w:rFonts w:hint="eastAsia" w:ascii="宋体" w:hAnsi="宋体"/>
          <w:b/>
          <w:bCs/>
          <w:szCs w:val="24"/>
        </w:rPr>
        <w:t>设备及配件的安装与调试</w:t>
      </w:r>
    </w:p>
    <w:p w14:paraId="2F5E021C">
      <w:pPr>
        <w:pStyle w:val="11"/>
        <w:spacing w:line="480" w:lineRule="auto"/>
        <w:ind w:left="284" w:firstLine="434" w:firstLineChars="181"/>
        <w:rPr>
          <w:rFonts w:hint="eastAsia" w:ascii="宋体" w:hAnsi="宋体"/>
          <w:b/>
          <w:szCs w:val="24"/>
        </w:rPr>
      </w:pPr>
      <w:r>
        <w:rPr>
          <w:rFonts w:hint="eastAsia" w:ascii="宋体" w:hAnsi="宋体"/>
          <w:szCs w:val="24"/>
        </w:rPr>
        <w:t>乙方(出卖人)负责免费安装调试，直至设备通过安装验收检验。设备安装并验收完成后，甲方在乙方出具验收单上签字。</w:t>
      </w:r>
    </w:p>
    <w:p w14:paraId="4483C2CA">
      <w:pPr>
        <w:pStyle w:val="11"/>
        <w:numPr>
          <w:ilvl w:val="0"/>
          <w:numId w:val="1"/>
        </w:numPr>
        <w:ind w:firstLineChars="0"/>
        <w:rPr>
          <w:rFonts w:hint="eastAsia" w:ascii="宋体" w:hAnsi="宋体"/>
          <w:b/>
          <w:szCs w:val="24"/>
        </w:rPr>
      </w:pPr>
      <w:r>
        <w:rPr>
          <w:rFonts w:hint="eastAsia" w:ascii="宋体" w:hAnsi="宋体"/>
          <w:b/>
          <w:bCs/>
          <w:szCs w:val="24"/>
        </w:rPr>
        <w:t>结算方式、时间及地点</w:t>
      </w:r>
    </w:p>
    <w:p w14:paraId="0DD49853">
      <w:pPr>
        <w:pStyle w:val="11"/>
        <w:spacing w:line="480" w:lineRule="auto"/>
        <w:ind w:left="284" w:firstLine="434" w:firstLineChars="181"/>
        <w:rPr>
          <w:rFonts w:hint="eastAsia" w:ascii="宋体" w:hAnsi="宋体"/>
          <w:b/>
          <w:szCs w:val="24"/>
        </w:rPr>
      </w:pPr>
      <w:r>
        <w:rPr>
          <w:rFonts w:hint="eastAsia" w:ascii="宋体" w:hAnsi="宋体"/>
          <w:szCs w:val="24"/>
        </w:rPr>
        <w:t>合同签订后20日内，支付合同总金额的20%款项作为预付款。能耗监测平台搭建（含数据采集设备部署）完成并验收之后20日内，支付合同总金额30%款项。中心血站供电及暖通系统进行全面摸排，并验收之后20日内，支付合同总金额30%款项。年底12月15日之前，支付合同总金额剩余20%款项。。</w:t>
      </w:r>
    </w:p>
    <w:p w14:paraId="2FE472EF">
      <w:pPr>
        <w:pStyle w:val="11"/>
        <w:numPr>
          <w:ilvl w:val="0"/>
          <w:numId w:val="1"/>
        </w:numPr>
        <w:ind w:firstLineChars="0"/>
        <w:rPr>
          <w:rFonts w:hint="eastAsia" w:ascii="宋体" w:hAnsi="宋体"/>
          <w:b/>
          <w:szCs w:val="24"/>
        </w:rPr>
      </w:pPr>
      <w:r>
        <w:rPr>
          <w:rFonts w:hint="eastAsia" w:ascii="宋体" w:hAnsi="宋体"/>
          <w:b/>
          <w:bCs/>
          <w:szCs w:val="24"/>
        </w:rPr>
        <w:t>违约责任</w:t>
      </w:r>
    </w:p>
    <w:p w14:paraId="6A19F8F0">
      <w:pPr>
        <w:pStyle w:val="11"/>
        <w:spacing w:before="32" w:line="480" w:lineRule="auto"/>
        <w:ind w:left="284" w:firstLine="434" w:firstLineChars="181"/>
        <w:rPr>
          <w:rFonts w:hint="eastAsia" w:ascii="宋体" w:hAnsi="宋体"/>
          <w:szCs w:val="24"/>
        </w:rPr>
      </w:pPr>
      <w:r>
        <w:rPr>
          <w:rFonts w:hint="eastAsia" w:ascii="宋体" w:hAnsi="宋体"/>
          <w:szCs w:val="24"/>
        </w:rPr>
        <w:t>1、乙方所交的货物品种、型号、规格、质量不符合合同规定标准，甲方有权拒收。同时，乙方向甲方支付合同款总额 2% 的违约金。</w:t>
      </w:r>
    </w:p>
    <w:p w14:paraId="016FFF49">
      <w:pPr>
        <w:pStyle w:val="11"/>
        <w:spacing w:before="32" w:line="480" w:lineRule="auto"/>
        <w:ind w:left="720" w:firstLine="0" w:firstLineChars="0"/>
        <w:rPr>
          <w:rFonts w:hint="eastAsia" w:ascii="宋体" w:hAnsi="宋体"/>
          <w:szCs w:val="24"/>
        </w:rPr>
      </w:pPr>
      <w:r>
        <w:rPr>
          <w:rFonts w:hint="eastAsia" w:ascii="宋体" w:hAnsi="宋体"/>
          <w:szCs w:val="24"/>
        </w:rPr>
        <w:t>2、乙方不能完成服务时，乙方向甲方偿付合同款总额 2% 的违约金。</w:t>
      </w:r>
    </w:p>
    <w:p w14:paraId="40A13CCE">
      <w:pPr>
        <w:pStyle w:val="11"/>
        <w:spacing w:before="32" w:line="480" w:lineRule="auto"/>
        <w:ind w:left="284" w:right="110" w:firstLine="434" w:firstLineChars="181"/>
        <w:jc w:val="both"/>
        <w:rPr>
          <w:rFonts w:hint="eastAsia" w:ascii="宋体" w:hAnsi="宋体"/>
          <w:szCs w:val="24"/>
        </w:rPr>
      </w:pPr>
      <w:r>
        <w:rPr>
          <w:rFonts w:hint="eastAsia" w:ascii="宋体" w:hAnsi="宋体"/>
          <w:szCs w:val="24"/>
        </w:rPr>
        <w:t>3、乙方逾期升级改造时，每逾 1 日乙方向甲方偿付合同款总额 3‰ 的滞纳金。逾期超过30天后，甲方有权决定是否继续履行合同，如甲方解除合同，有权要求乙方承担因此造成的甲方损失。</w:t>
      </w:r>
    </w:p>
    <w:p w14:paraId="04A687E7">
      <w:pPr>
        <w:pStyle w:val="11"/>
        <w:spacing w:line="480" w:lineRule="auto"/>
        <w:ind w:left="720" w:firstLine="0" w:firstLineChars="0"/>
        <w:rPr>
          <w:rFonts w:hint="eastAsia" w:ascii="宋体" w:hAnsi="宋体"/>
          <w:b/>
          <w:szCs w:val="24"/>
        </w:rPr>
      </w:pPr>
      <w:r>
        <w:rPr>
          <w:rFonts w:hint="eastAsia" w:ascii="宋体" w:hAnsi="宋体"/>
          <w:szCs w:val="24"/>
        </w:rPr>
        <w:t>4、因甲方错告或变更到货地点而给乙方造成的损失由甲方负担。</w:t>
      </w:r>
    </w:p>
    <w:p w14:paraId="03B8586D">
      <w:pPr>
        <w:pStyle w:val="11"/>
        <w:numPr>
          <w:ilvl w:val="0"/>
          <w:numId w:val="1"/>
        </w:numPr>
        <w:ind w:firstLineChars="0"/>
        <w:rPr>
          <w:rFonts w:hint="eastAsia" w:ascii="宋体" w:hAnsi="宋体"/>
          <w:b/>
          <w:szCs w:val="24"/>
        </w:rPr>
      </w:pPr>
      <w:r>
        <w:rPr>
          <w:rFonts w:hint="eastAsia" w:ascii="宋体" w:hAnsi="宋体"/>
          <w:b/>
          <w:szCs w:val="24"/>
        </w:rPr>
        <w:t>服务要求</w:t>
      </w:r>
    </w:p>
    <w:p w14:paraId="52250737">
      <w:pPr>
        <w:pStyle w:val="11"/>
        <w:spacing w:line="480" w:lineRule="auto"/>
        <w:ind w:left="284" w:firstLine="434" w:firstLineChars="181"/>
        <w:rPr>
          <w:rFonts w:hint="eastAsia" w:ascii="宋体" w:hAnsi="宋体"/>
          <w:b/>
          <w:szCs w:val="24"/>
        </w:rPr>
      </w:pPr>
      <w:r>
        <w:rPr>
          <w:rFonts w:hint="eastAsia" w:ascii="宋体" w:hAnsi="宋体"/>
          <w:szCs w:val="24"/>
        </w:rPr>
        <w:t>应急服务：提供全年无休紧急维修服务，市区内响应时间≤1小时，故障修复时间≤24小时。维保期内免费更换非人为损坏的零件（单价≤500元），超过500元造价的维修服务报使用单位审批付费维修。</w:t>
      </w:r>
    </w:p>
    <w:p w14:paraId="7192BCF7">
      <w:pPr>
        <w:pStyle w:val="11"/>
        <w:numPr>
          <w:ilvl w:val="0"/>
          <w:numId w:val="1"/>
        </w:numPr>
        <w:ind w:firstLineChars="0"/>
        <w:rPr>
          <w:rFonts w:hint="eastAsia" w:ascii="宋体" w:hAnsi="宋体"/>
          <w:b/>
          <w:szCs w:val="24"/>
        </w:rPr>
      </w:pPr>
      <w:r>
        <w:rPr>
          <w:rFonts w:hint="eastAsia" w:ascii="宋体" w:hAnsi="宋体"/>
          <w:b/>
          <w:bCs/>
          <w:szCs w:val="24"/>
        </w:rPr>
        <w:t>不可抗力</w:t>
      </w:r>
    </w:p>
    <w:p w14:paraId="256856D4">
      <w:pPr>
        <w:pStyle w:val="11"/>
        <w:spacing w:before="34" w:line="480" w:lineRule="auto"/>
        <w:ind w:left="284" w:firstLine="434" w:firstLineChars="181"/>
        <w:jc w:val="both"/>
        <w:rPr>
          <w:rFonts w:hint="eastAsia" w:ascii="宋体" w:hAnsi="宋体"/>
          <w:szCs w:val="24"/>
        </w:rPr>
      </w:pPr>
      <w:r>
        <w:rPr>
          <w:rFonts w:hint="eastAsia" w:ascii="宋体" w:hAnsi="宋体"/>
          <w:szCs w:val="24"/>
        </w:rPr>
        <w:t>1、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14:paraId="2ED7C9AD">
      <w:pPr>
        <w:pStyle w:val="11"/>
        <w:spacing w:before="34" w:line="480" w:lineRule="auto"/>
        <w:ind w:left="284" w:firstLine="434" w:firstLineChars="181"/>
        <w:jc w:val="both"/>
        <w:rPr>
          <w:rFonts w:hint="eastAsia" w:ascii="宋体" w:hAnsi="宋体"/>
          <w:szCs w:val="24"/>
        </w:rPr>
      </w:pPr>
      <w:r>
        <w:rPr>
          <w:rFonts w:hint="eastAsia" w:ascii="宋体" w:hAnsi="宋体"/>
          <w:szCs w:val="24"/>
        </w:rPr>
        <w:t>2、受不可抗力事件影响的一方当事人对于不可抗力事件导致的任何合同义务的迟延履行或不能履行不承担违约责任。但该方当事人应尽快将不可抗力事件结束或消除的情况通知另一方当事人。</w:t>
      </w:r>
    </w:p>
    <w:p w14:paraId="2760B057">
      <w:pPr>
        <w:pStyle w:val="11"/>
        <w:spacing w:line="480" w:lineRule="auto"/>
        <w:ind w:left="284" w:firstLine="434" w:firstLineChars="181"/>
        <w:rPr>
          <w:rFonts w:hint="eastAsia" w:ascii="宋体" w:hAnsi="宋体"/>
          <w:b/>
          <w:szCs w:val="24"/>
        </w:rPr>
      </w:pPr>
      <w:r>
        <w:rPr>
          <w:rFonts w:hint="eastAsia" w:ascii="宋体" w:hAnsi="宋体"/>
          <w:szCs w:val="24"/>
        </w:rPr>
        <w:t>3、双方当事人应在不可抗力事件结束或其影响消除后立即继续履行其合同义务，合同期限也应相应顺延。除专用合同条款另有约定外，如果不可抗力事件的影响持续超过140日，则任何一方当事人均有权以书面通知解除合同。</w:t>
      </w:r>
    </w:p>
    <w:p w14:paraId="4359BFD0">
      <w:pPr>
        <w:pStyle w:val="11"/>
        <w:numPr>
          <w:ilvl w:val="0"/>
          <w:numId w:val="1"/>
        </w:numPr>
        <w:ind w:firstLineChars="0"/>
        <w:rPr>
          <w:rFonts w:hint="eastAsia" w:ascii="宋体" w:hAnsi="宋体"/>
          <w:b/>
          <w:szCs w:val="24"/>
        </w:rPr>
      </w:pPr>
      <w:r>
        <w:rPr>
          <w:rFonts w:hint="eastAsia" w:ascii="宋体" w:hAnsi="宋体"/>
          <w:b/>
          <w:bCs/>
          <w:szCs w:val="24"/>
        </w:rPr>
        <w:t>合同解除</w:t>
      </w:r>
    </w:p>
    <w:p w14:paraId="65206FF8">
      <w:pPr>
        <w:pStyle w:val="11"/>
        <w:spacing w:before="34" w:line="480" w:lineRule="auto"/>
        <w:ind w:left="284" w:firstLine="434" w:firstLineChars="181"/>
        <w:jc w:val="both"/>
        <w:rPr>
          <w:rFonts w:hint="eastAsia" w:ascii="宋体" w:hAnsi="宋体"/>
          <w:szCs w:val="24"/>
        </w:rPr>
      </w:pPr>
      <w:r>
        <w:rPr>
          <w:rFonts w:hint="eastAsia" w:ascii="宋体" w:hAnsi="宋体"/>
          <w:szCs w:val="24"/>
        </w:rPr>
        <w:t>1、合同设备由于响应人原因三次考核均未能达到技术性能考核指标，或双方在考核中另行达成了最低技术性能考核指标时均未能达到最低技术性能考核指标，且买卖双方未就合同的后续履行协商达成一致，可以解除本合同。</w:t>
      </w:r>
    </w:p>
    <w:p w14:paraId="28745C08">
      <w:pPr>
        <w:pStyle w:val="11"/>
        <w:spacing w:before="34" w:line="480" w:lineRule="auto"/>
        <w:ind w:left="284" w:firstLine="434" w:firstLineChars="181"/>
        <w:jc w:val="both"/>
        <w:rPr>
          <w:rFonts w:hint="eastAsia" w:ascii="宋体" w:hAnsi="宋体"/>
          <w:szCs w:val="24"/>
        </w:rPr>
      </w:pPr>
      <w:r>
        <w:rPr>
          <w:rFonts w:hint="eastAsia" w:ascii="宋体" w:hAnsi="宋体"/>
          <w:szCs w:val="24"/>
        </w:rPr>
        <w:t>2、合同一方当事人未能履行合同项下任何其它义务（细微义务除外），或在未事先征得另一方当事人同意的情况下，从事任何可能在实质上影响其履行合同能力的活动，经另一方当事人书面通知后14日内或在专用合同条款约定的其他期限内未能对其行为做出补救。</w:t>
      </w:r>
    </w:p>
    <w:p w14:paraId="12FB57B4">
      <w:pPr>
        <w:pStyle w:val="11"/>
        <w:spacing w:line="480" w:lineRule="auto"/>
        <w:ind w:left="284" w:firstLine="434" w:firstLineChars="181"/>
        <w:rPr>
          <w:rFonts w:hint="eastAsia" w:ascii="宋体" w:hAnsi="宋体"/>
          <w:b/>
          <w:szCs w:val="24"/>
        </w:rPr>
      </w:pPr>
      <w:r>
        <w:rPr>
          <w:rFonts w:hint="eastAsia" w:ascii="宋体" w:hAnsi="宋体"/>
          <w:szCs w:val="24"/>
        </w:rPr>
        <w:t>3、合同一方当事人出现破产、清算、资不抵债、成为失信被执行人等可能丧失履约能力的情形。</w:t>
      </w:r>
    </w:p>
    <w:p w14:paraId="4F606217">
      <w:pPr>
        <w:pStyle w:val="11"/>
        <w:numPr>
          <w:ilvl w:val="0"/>
          <w:numId w:val="1"/>
        </w:numPr>
        <w:ind w:firstLineChars="0"/>
        <w:rPr>
          <w:rFonts w:hint="eastAsia" w:ascii="宋体" w:hAnsi="宋体"/>
          <w:b/>
          <w:szCs w:val="24"/>
        </w:rPr>
      </w:pPr>
      <w:r>
        <w:rPr>
          <w:rFonts w:hint="eastAsia" w:ascii="宋体" w:hAnsi="宋体"/>
          <w:b/>
          <w:bCs/>
          <w:szCs w:val="24"/>
        </w:rPr>
        <w:t>合同争议的解决方式</w:t>
      </w:r>
    </w:p>
    <w:p w14:paraId="3F9FF40E">
      <w:pPr>
        <w:pStyle w:val="11"/>
        <w:spacing w:before="19" w:line="480" w:lineRule="auto"/>
        <w:ind w:left="284" w:firstLine="434" w:firstLineChars="181"/>
        <w:rPr>
          <w:rFonts w:hint="eastAsia" w:ascii="宋体" w:hAnsi="宋体"/>
          <w:szCs w:val="24"/>
        </w:rPr>
      </w:pPr>
      <w:r>
        <w:rPr>
          <w:rFonts w:hint="eastAsia" w:ascii="宋体" w:hAnsi="宋体"/>
          <w:szCs w:val="24"/>
        </w:rPr>
        <w:t>本合同在履行过程中发生的争议，由双方当事人协商解决，协商不成的依法向甲方住所地人民法院提起诉讼。</w:t>
      </w:r>
    </w:p>
    <w:p w14:paraId="7662A5E8">
      <w:pPr>
        <w:pStyle w:val="11"/>
        <w:numPr>
          <w:ilvl w:val="0"/>
          <w:numId w:val="1"/>
        </w:numPr>
        <w:ind w:firstLineChars="0"/>
        <w:rPr>
          <w:rFonts w:hint="eastAsia" w:ascii="宋体" w:hAnsi="宋体"/>
          <w:b/>
          <w:szCs w:val="24"/>
        </w:rPr>
      </w:pPr>
      <w:r>
        <w:rPr>
          <w:rFonts w:hint="eastAsia" w:ascii="宋体" w:hAnsi="宋体"/>
          <w:b/>
          <w:bCs/>
          <w:szCs w:val="24"/>
        </w:rPr>
        <w:t>其它约定事项</w:t>
      </w:r>
    </w:p>
    <w:p w14:paraId="4183B9E8">
      <w:pPr>
        <w:spacing w:before="34" w:line="480" w:lineRule="auto"/>
        <w:ind w:firstLine="709"/>
        <w:rPr>
          <w:rFonts w:hint="eastAsia" w:ascii="宋体" w:hAnsi="宋体"/>
        </w:rPr>
      </w:pPr>
      <w:r>
        <w:rPr>
          <w:rFonts w:hint="eastAsia" w:ascii="宋体" w:hAnsi="宋体"/>
        </w:rPr>
        <w:t>1、本合同一式叁份，双方代表签字加盖单位公章或合同专用章后正式生效。甲方贰份，乙方壹份。</w:t>
      </w:r>
    </w:p>
    <w:p w14:paraId="757FC016">
      <w:pPr>
        <w:pStyle w:val="11"/>
        <w:spacing w:line="480" w:lineRule="auto"/>
        <w:ind w:left="-2" w:leftChars="-1" w:firstLine="708" w:firstLineChars="295"/>
        <w:rPr>
          <w:rFonts w:hint="eastAsia" w:ascii="宋体" w:hAnsi="宋体"/>
          <w:sz w:val="28"/>
        </w:rPr>
      </w:pPr>
      <w:r>
        <w:rPr>
          <w:rFonts w:hint="eastAsia" w:ascii="宋体" w:hAnsi="宋体"/>
          <w:szCs w:val="24"/>
        </w:rPr>
        <w:t>2、技术参数及相关资料作为本合同附件，与本合同具有同等法律效力。</w:t>
      </w:r>
    </w:p>
    <w:p w14:paraId="40F8FEC8">
      <w:pPr>
        <w:pStyle w:val="11"/>
        <w:ind w:left="720" w:firstLine="0" w:firstLineChars="0"/>
        <w:rPr>
          <w:rFonts w:hint="eastAsia" w:ascii="宋体" w:hAnsi="宋体"/>
          <w:b/>
          <w:szCs w:val="24"/>
        </w:rPr>
      </w:pPr>
    </w:p>
    <w:p w14:paraId="2B5322FD">
      <w:pPr>
        <w:pStyle w:val="11"/>
        <w:spacing w:line="480" w:lineRule="auto"/>
        <w:ind w:left="720" w:firstLine="0" w:firstLineChars="0"/>
        <w:rPr>
          <w:rFonts w:hint="eastAsia" w:ascii="宋体" w:hAnsi="宋体"/>
          <w:szCs w:val="24"/>
        </w:rPr>
      </w:pPr>
      <w:r>
        <w:rPr>
          <w:rFonts w:hint="eastAsia" w:ascii="宋体" w:hAnsi="宋体"/>
          <w:szCs w:val="24"/>
        </w:rPr>
        <w:t>附件1：技术参数（以投标文件为准）</w:t>
      </w:r>
    </w:p>
    <w:p w14:paraId="2F71FFB4">
      <w:pPr>
        <w:pStyle w:val="11"/>
        <w:spacing w:line="480" w:lineRule="auto"/>
        <w:ind w:left="720" w:firstLine="0" w:firstLineChars="0"/>
        <w:rPr>
          <w:rFonts w:hint="eastAsia" w:ascii="宋体" w:hAnsi="宋体"/>
          <w:szCs w:val="24"/>
        </w:rPr>
      </w:pPr>
    </w:p>
    <w:p w14:paraId="436B7448">
      <w:pPr>
        <w:pStyle w:val="11"/>
        <w:ind w:left="720" w:firstLine="0" w:firstLineChars="0"/>
        <w:rPr>
          <w:rFonts w:hint="eastAsia" w:ascii="宋体" w:hAnsi="宋体"/>
          <w:szCs w:val="24"/>
        </w:rPr>
      </w:pPr>
    </w:p>
    <w:tbl>
      <w:tblPr>
        <w:tblStyle w:val="8"/>
        <w:tblW w:w="0" w:type="auto"/>
        <w:tblInd w:w="0" w:type="dxa"/>
        <w:tblLayout w:type="autofit"/>
        <w:tblCellMar>
          <w:top w:w="0" w:type="dxa"/>
          <w:left w:w="108" w:type="dxa"/>
          <w:bottom w:w="0" w:type="dxa"/>
          <w:right w:w="108" w:type="dxa"/>
        </w:tblCellMar>
      </w:tblPr>
      <w:tblGrid>
        <w:gridCol w:w="3794"/>
        <w:gridCol w:w="4261"/>
      </w:tblGrid>
      <w:tr w14:paraId="7C857D7A">
        <w:tblPrEx>
          <w:tblCellMar>
            <w:top w:w="0" w:type="dxa"/>
            <w:left w:w="108" w:type="dxa"/>
            <w:bottom w:w="0" w:type="dxa"/>
            <w:right w:w="108" w:type="dxa"/>
          </w:tblCellMar>
        </w:tblPrEx>
        <w:tc>
          <w:tcPr>
            <w:tcW w:w="3794" w:type="dxa"/>
          </w:tcPr>
          <w:p w14:paraId="0C58CA79">
            <w:pPr>
              <w:spacing w:line="360" w:lineRule="auto"/>
              <w:rPr>
                <w:rFonts w:ascii="宋体" w:hAnsi="宋体" w:cs="Times New Roman"/>
                <w:sz w:val="24"/>
                <w:szCs w:val="22"/>
              </w:rPr>
            </w:pPr>
            <w:r>
              <w:rPr>
                <w:rFonts w:hint="eastAsia" w:ascii="宋体" w:hAnsi="宋体"/>
              </w:rPr>
              <w:t>甲方（盖章）：西安市中心血站</w:t>
            </w:r>
          </w:p>
        </w:tc>
        <w:tc>
          <w:tcPr>
            <w:tcW w:w="4261" w:type="dxa"/>
          </w:tcPr>
          <w:p w14:paraId="455C2F0A">
            <w:pPr>
              <w:spacing w:line="360" w:lineRule="auto"/>
              <w:rPr>
                <w:rFonts w:ascii="宋体" w:hAnsi="宋体" w:cs="Times New Roman"/>
                <w:sz w:val="24"/>
                <w:szCs w:val="22"/>
              </w:rPr>
            </w:pPr>
            <w:r>
              <w:rPr>
                <w:rFonts w:hint="eastAsia" w:ascii="宋体" w:hAnsi="宋体"/>
              </w:rPr>
              <w:t xml:space="preserve">乙方（盖章）： </w:t>
            </w:r>
          </w:p>
        </w:tc>
      </w:tr>
      <w:tr w14:paraId="49C1E0FE">
        <w:tblPrEx>
          <w:tblCellMar>
            <w:top w:w="0" w:type="dxa"/>
            <w:left w:w="108" w:type="dxa"/>
            <w:bottom w:w="0" w:type="dxa"/>
            <w:right w:w="108" w:type="dxa"/>
          </w:tblCellMar>
        </w:tblPrEx>
        <w:tc>
          <w:tcPr>
            <w:tcW w:w="3794" w:type="dxa"/>
          </w:tcPr>
          <w:p w14:paraId="282BB246">
            <w:pPr>
              <w:rPr>
                <w:rFonts w:ascii="宋体" w:hAnsi="宋体"/>
                <w:sz w:val="24"/>
                <w:szCs w:val="22"/>
              </w:rPr>
            </w:pPr>
            <w:r>
              <w:rPr>
                <w:rFonts w:hint="eastAsia" w:ascii="宋体" w:hAnsi="宋体"/>
              </w:rPr>
              <w:t>法定代表人/负责人（签字）：</w:t>
            </w:r>
          </w:p>
          <w:p w14:paraId="2F62F222">
            <w:pPr>
              <w:spacing w:line="360" w:lineRule="auto"/>
              <w:rPr>
                <w:rFonts w:ascii="宋体" w:hAnsi="宋体" w:cs="Times New Roman"/>
                <w:sz w:val="24"/>
                <w:szCs w:val="22"/>
              </w:rPr>
            </w:pPr>
          </w:p>
        </w:tc>
        <w:tc>
          <w:tcPr>
            <w:tcW w:w="4261" w:type="dxa"/>
          </w:tcPr>
          <w:p w14:paraId="01EFDFDE">
            <w:pPr>
              <w:rPr>
                <w:rFonts w:ascii="宋体" w:hAnsi="宋体"/>
                <w:sz w:val="24"/>
                <w:szCs w:val="22"/>
              </w:rPr>
            </w:pPr>
            <w:r>
              <w:rPr>
                <w:rFonts w:hint="eastAsia" w:ascii="宋体" w:hAnsi="宋体"/>
              </w:rPr>
              <w:t>法定代表人/负责人（签字）：</w:t>
            </w:r>
          </w:p>
          <w:p w14:paraId="6A6BEF22">
            <w:pPr>
              <w:spacing w:line="360" w:lineRule="auto"/>
              <w:rPr>
                <w:rFonts w:ascii="宋体" w:hAnsi="宋体" w:cs="Times New Roman"/>
                <w:sz w:val="24"/>
                <w:szCs w:val="22"/>
              </w:rPr>
            </w:pPr>
          </w:p>
        </w:tc>
      </w:tr>
      <w:tr w14:paraId="49F2BBF1">
        <w:tblPrEx>
          <w:tblCellMar>
            <w:top w:w="0" w:type="dxa"/>
            <w:left w:w="108" w:type="dxa"/>
            <w:bottom w:w="0" w:type="dxa"/>
            <w:right w:w="108" w:type="dxa"/>
          </w:tblCellMar>
        </w:tblPrEx>
        <w:tc>
          <w:tcPr>
            <w:tcW w:w="3794" w:type="dxa"/>
          </w:tcPr>
          <w:p w14:paraId="2DE1417F">
            <w:pPr>
              <w:rPr>
                <w:rFonts w:ascii="宋体" w:hAnsi="宋体"/>
                <w:sz w:val="24"/>
                <w:szCs w:val="22"/>
              </w:rPr>
            </w:pPr>
            <w:r>
              <w:rPr>
                <w:rFonts w:hint="eastAsia" w:ascii="宋体" w:hAnsi="宋体"/>
              </w:rPr>
              <w:t>委托代理人（签字）：</w:t>
            </w:r>
          </w:p>
          <w:p w14:paraId="359A7B15">
            <w:pPr>
              <w:spacing w:line="360" w:lineRule="auto"/>
              <w:rPr>
                <w:rFonts w:ascii="宋体" w:hAnsi="宋体" w:cs="Times New Roman"/>
                <w:sz w:val="24"/>
                <w:szCs w:val="22"/>
              </w:rPr>
            </w:pPr>
          </w:p>
        </w:tc>
        <w:tc>
          <w:tcPr>
            <w:tcW w:w="4261" w:type="dxa"/>
          </w:tcPr>
          <w:p w14:paraId="02709539">
            <w:pPr>
              <w:rPr>
                <w:rFonts w:ascii="宋体" w:hAnsi="宋体"/>
                <w:sz w:val="24"/>
                <w:szCs w:val="22"/>
              </w:rPr>
            </w:pPr>
            <w:r>
              <w:rPr>
                <w:rFonts w:hint="eastAsia" w:ascii="宋体" w:hAnsi="宋体"/>
              </w:rPr>
              <w:t>委托代理人（签字）：</w:t>
            </w:r>
          </w:p>
          <w:p w14:paraId="34194ED9">
            <w:pPr>
              <w:spacing w:line="360" w:lineRule="auto"/>
              <w:rPr>
                <w:rFonts w:ascii="宋体" w:hAnsi="宋体" w:cs="Times New Roman"/>
                <w:sz w:val="24"/>
                <w:szCs w:val="22"/>
              </w:rPr>
            </w:pPr>
          </w:p>
        </w:tc>
      </w:tr>
      <w:tr w14:paraId="5D308310">
        <w:tblPrEx>
          <w:tblCellMar>
            <w:top w:w="0" w:type="dxa"/>
            <w:left w:w="108" w:type="dxa"/>
            <w:bottom w:w="0" w:type="dxa"/>
            <w:right w:w="108" w:type="dxa"/>
          </w:tblCellMar>
        </w:tblPrEx>
        <w:tc>
          <w:tcPr>
            <w:tcW w:w="3794" w:type="dxa"/>
          </w:tcPr>
          <w:p w14:paraId="0020E69E">
            <w:pPr>
              <w:spacing w:line="360" w:lineRule="auto"/>
              <w:rPr>
                <w:rFonts w:ascii="宋体" w:hAnsi="宋体" w:cs="Times New Roman"/>
                <w:sz w:val="24"/>
                <w:szCs w:val="22"/>
              </w:rPr>
            </w:pPr>
            <w:r>
              <w:rPr>
                <w:rFonts w:hint="eastAsia" w:ascii="宋体" w:hAnsi="宋体"/>
              </w:rPr>
              <w:t>签约日期：</w:t>
            </w:r>
          </w:p>
        </w:tc>
        <w:tc>
          <w:tcPr>
            <w:tcW w:w="4261" w:type="dxa"/>
          </w:tcPr>
          <w:p w14:paraId="093BFB9E">
            <w:pPr>
              <w:spacing w:line="360" w:lineRule="auto"/>
              <w:rPr>
                <w:rFonts w:ascii="宋体" w:hAnsi="宋体" w:cs="Times New Roman"/>
                <w:sz w:val="24"/>
                <w:szCs w:val="22"/>
              </w:rPr>
            </w:pPr>
            <w:r>
              <w:rPr>
                <w:rFonts w:hint="eastAsia" w:ascii="宋体" w:hAnsi="宋体"/>
              </w:rPr>
              <w:t>签约日期：</w:t>
            </w:r>
          </w:p>
        </w:tc>
      </w:tr>
    </w:tbl>
    <w:p w14:paraId="786DB7C0">
      <w:pPr>
        <w:rPr>
          <w:rFonts w:hint="eastAsia" w:ascii="宋体" w:hAnsi="宋体"/>
        </w:rPr>
      </w:pPr>
      <w:r>
        <w:rPr>
          <w:rFonts w:hint="eastAsia" w:ascii="宋体" w:hAnsi="宋体"/>
        </w:rPr>
        <w:br w:type="page"/>
      </w:r>
    </w:p>
    <w:p w14:paraId="2920DA8A">
      <w:pPr>
        <w:rPr>
          <w:rFonts w:hint="eastAsia" w:ascii="宋体" w:hAnsi="宋体" w:cs="Times New Roman"/>
        </w:rPr>
      </w:pPr>
      <w:r>
        <w:rPr>
          <w:rFonts w:hint="eastAsia" w:ascii="宋体" w:hAnsi="宋体"/>
        </w:rPr>
        <w:t>附件1：技术参数</w:t>
      </w:r>
    </w:p>
    <w:p w14:paraId="6C6CB39A">
      <w:pPr>
        <w:spacing w:before="100" w:after="100"/>
        <w:rPr>
          <w:rFonts w:hint="eastAsia" w:ascii="宋体" w:hAnsi="宋体"/>
        </w:rPr>
      </w:pPr>
      <w:r>
        <w:rPr>
          <w:rFonts w:hint="eastAsia" w:ascii="宋体" w:hAnsi="宋体" w:cs="仿宋"/>
          <w:b/>
          <w:bCs/>
          <w:sz w:val="28"/>
        </w:rPr>
        <w:t>技术参数</w:t>
      </w:r>
    </w:p>
    <w:p w14:paraId="1A3518B1"/>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52951">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350E0"/>
    <w:multiLevelType w:val="singleLevel"/>
    <w:tmpl w:val="AC3350E0"/>
    <w:lvl w:ilvl="0" w:tentative="0">
      <w:start w:val="1"/>
      <w:numFmt w:val="decimal"/>
      <w:suff w:val="space"/>
      <w:lvlText w:val="%1."/>
      <w:lvlJc w:val="left"/>
      <w:pPr/>
    </w:lvl>
  </w:abstractNum>
  <w:abstractNum w:abstractNumId="1">
    <w:nsid w:val="B53F1E4D"/>
    <w:multiLevelType w:val="multilevel"/>
    <w:tmpl w:val="B53F1E4D"/>
    <w:lvl w:ilvl="0" w:tentative="0">
      <w:start w:val="1"/>
      <w:numFmt w:val="decimal"/>
      <w:suff w:val="space"/>
      <w:lvlText w:val="%1．"/>
      <w:lvlJc w:val="left"/>
      <w:pPr>
        <w:ind w:left="1080" w:hanging="36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69DF7315"/>
    <w:multiLevelType w:val="multilevel"/>
    <w:tmpl w:val="69DF7315"/>
    <w:lvl w:ilvl="0" w:tentative="0">
      <w:start w:val="1"/>
      <w:numFmt w:val="japaneseCounting"/>
      <w:suff w:val="space"/>
      <w:lvlText w:val="%1、"/>
      <w:lvlJc w:val="left"/>
      <w:pPr>
        <w:ind w:left="862" w:hanging="720"/>
      </w:pPr>
      <w:rPr>
        <w:rFonts w:hint="eastAsia"/>
        <w:b/>
        <w:lang w:val="en-U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24FE41BB"/>
    <w:rsid w:val="2B464F57"/>
    <w:rsid w:val="459D3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qFormat/>
    <w:uiPriority w:val="0"/>
    <w:pPr>
      <w:keepNext/>
      <w:keepLines/>
      <w:spacing w:line="360" w:lineRule="auto"/>
      <w:outlineLvl w:val="1"/>
    </w:pPr>
    <w:rPr>
      <w:rFonts w:eastAsia="黑体"/>
      <w:b/>
      <w:bCs/>
      <w:sz w:val="28"/>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styleId="11">
    <w:name w:val="List Paragraph"/>
    <w:basedOn w:val="1"/>
    <w:qFormat/>
    <w:uiPriority w:val="34"/>
    <w:pPr>
      <w:spacing w:line="360" w:lineRule="auto"/>
      <w:ind w:firstLine="420" w:firstLineChars="200"/>
      <w:jc w:val="left"/>
    </w:pPr>
    <w:rPr>
      <w:rFonts w:ascii="等线" w:hAnsi="等线" w:eastAsia="宋体" w:cs="Times New Roman"/>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9215</Words>
  <Characters>9498</Characters>
  <Lines>0</Lines>
  <Paragraphs>0</Paragraphs>
  <TotalTime>3</TotalTime>
  <ScaleCrop>false</ScaleCrop>
  <LinksUpToDate>false</LinksUpToDate>
  <CharactersWithSpaces>9809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2024-04-26T03:03:00Z</dcterms:created>
  <dc:creator>Administrator</dc:creator>
  <cp:lastModifiedBy>趁早</cp:lastModifiedBy>
  <dcterms:modified xsi:type="dcterms:W3CDTF">2025-04-10T03:48:16Z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4325F81E0AFC47378FAC30B5E184E87A_12</vt:lpwstr>
  </property>
  <property fmtid="{D5CDD505-2E9C-101B-9397-08002B2CF9AE}" pid="4" name="KSOTemplateDocerSaveRecord">
    <vt:lpwstr>eyJoZGlkIjoiYzJhMWI3NGJiYWY1M2I2N2YyZjJlMjEzNjIzYzA1MjAiLCJ1c2VySWQiOiIyNDE1Nzk0OTUifQ==</vt:lpwstr>
  </property>
</Properties>
</file>