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版本号：HXGJXM2025-ZC-CS101420250509001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电子胃肠镜维保服务项目(二次)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HXGJXM2025-ZC-CS1014</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电子胃肠镜维保服务项目(二次)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电子胃肠镜维保服务项目(二次)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胃镜室电子胃肠镜维保服务,服务期两年｡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三个月的社会保障资金凭证),法定代表人直接参加磋商,须提供法定代表人身份证明及身份证复印件;</w:t>
      </w:r>
    </w:p>
    <w:p>
      <w:pPr>
        <w:pStyle w:val="null3"/>
      </w:pPr>
      <w:r>
        <w:rPr>
          <w:rFonts w:ascii="仿宋_GB2312" w:hAnsi="仿宋_GB2312" w:cs="仿宋_GB2312" w:eastAsia="仿宋_GB2312"/>
        </w:rPr>
        <w:t>2、资质证书或备案凭证：供应商为代理商的提供医疗器械经营许可证或备案凭证,供应商为生产厂商的提供医疗器械生产许可证或备案凭证;</w:t>
      </w:r>
    </w:p>
    <w:p>
      <w:pPr>
        <w:pStyle w:val="null3"/>
      </w:pPr>
      <w:r>
        <w:rPr>
          <w:rFonts w:ascii="仿宋_GB2312" w:hAnsi="仿宋_GB2312" w:cs="仿宋_GB2312" w:eastAsia="仿宋_GB2312"/>
        </w:rPr>
        <w:t>3、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王攀宏､康敏茹､张宝育､张艳萍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计价格[2002]1980号）的通知和国家发展和改革委员会办公厅颁发的《关于招标代理服务收费有关问题的通知》（发改办价格[2003]857号）的有关规定下浮20%执行｡ 成交单位在领取成交通知书前,须向采购代理机构一次性支付招标代理服务费。 2.招标代理服务费由中标供应商支付,在领取《中标通知书》前,由中标供应商一次性支付给华夏国际项目管理有限公司｡ 招标代理服务费缴纳账户: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联系人：王攀宏､康敏茹､张宝育､张艳萍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胃镜室电子胃肠镜维保服务,服务期两年｡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电子胃肠镜维保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标的名称：电子胃肠镜维保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一､服务期:两年</w:t>
            </w:r>
          </w:p>
          <w:p>
            <w:pPr>
              <w:pStyle w:val="null3"/>
              <w:jc w:val="both"/>
            </w:pPr>
            <w:r>
              <w:rPr>
                <w:rFonts w:ascii="仿宋_GB2312" w:hAnsi="仿宋_GB2312" w:cs="仿宋_GB2312" w:eastAsia="仿宋_GB2312"/>
                <w:sz w:val="21"/>
                <w:color w:val="000000"/>
              </w:rPr>
              <w:t>二､数量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16根,其中10根胃镜､6根肠镜,适配奥林巴斯260或290主机｡</w:t>
            </w:r>
          </w:p>
          <w:p>
            <w:pPr>
              <w:pStyle w:val="null3"/>
              <w:jc w:val="both"/>
            </w:pPr>
            <w:r>
              <w:rPr>
                <w:rFonts w:ascii="仿宋_GB2312" w:hAnsi="仿宋_GB2312" w:cs="仿宋_GB2312" w:eastAsia="仿宋_GB2312"/>
                <w:sz w:val="21"/>
                <w:color w:val="000000"/>
              </w:rPr>
              <w:t>脾胃病科胃镜室16条胃肠镜型号分别是：GIF-H260（2条 机身号2040348、2446183）、GIF-H290（机身号2625468）GIF-HQ290（4条 机身号2960530、2625022、2625036、2960766）CF-H260AI（2条 机身号2104091、2305431）CF-HQ290ZI（2条 机身号2122875、2922372）CF-HQ290I（ 机身号2955500）CF-H290I（机身号2611658）GIF-Q260J（机身号2403677）GIF-H290Z（2条 机身号2238215、2935399），因使用年限较长，处于故障高发期，申请维修保障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三､需求及参数</w:t>
            </w:r>
          </w:p>
          <w:p>
            <w:pPr>
              <w:pStyle w:val="null3"/>
              <w:jc w:val="both"/>
            </w:pPr>
            <w:r>
              <w:rPr>
                <w:rFonts w:ascii="仿宋_GB2312" w:hAnsi="仿宋_GB2312" w:cs="仿宋_GB2312" w:eastAsia="仿宋_GB2312"/>
                <w:sz w:val="21"/>
                <w:color w:val="000000"/>
              </w:rPr>
              <w:t>1､在西安市内有固定检测维修中心,有同型号胃肠镜配件,有专业的检测维修设备及工具｡(提供证明资料)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､投标人应储备足够的采购人所需的各类</w:t>
            </w:r>
            <w:r>
              <w:rPr>
                <w:rFonts w:ascii="仿宋_GB2312" w:hAnsi="仿宋_GB2312" w:cs="仿宋_GB2312" w:eastAsia="仿宋_GB2312"/>
                <w:sz w:val="21"/>
                <w:color w:val="000000"/>
              </w:rPr>
              <w:t>备用</w:t>
            </w:r>
            <w:r>
              <w:rPr>
                <w:rFonts w:ascii="仿宋_GB2312" w:hAnsi="仿宋_GB2312" w:cs="仿宋_GB2312" w:eastAsia="仿宋_GB2312"/>
                <w:sz w:val="21"/>
                <w:color w:val="000000"/>
              </w:rPr>
              <w:t>镜,提供备用镜时间≤48小时｡所提供备用设备,需要符合现行国家法律法规规定,以及经注册或备案的产品技术要求｡(国内系统可查､可追溯)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､投标人须提供详尽的可行性实施方案,有</w:t>
            </w:r>
            <w:r>
              <w:rPr>
                <w:rFonts w:ascii="仿宋_GB2312" w:hAnsi="仿宋_GB2312" w:cs="仿宋_GB2312" w:eastAsia="仿宋_GB2312"/>
                <w:sz w:val="21"/>
                <w:color w:val="000000"/>
              </w:rPr>
              <w:t>原厂</w:t>
            </w:r>
            <w:r>
              <w:rPr>
                <w:rFonts w:ascii="仿宋_GB2312" w:hAnsi="仿宋_GB2312" w:cs="仿宋_GB2312" w:eastAsia="仿宋_GB2312"/>
                <w:sz w:val="21"/>
                <w:color w:val="000000"/>
              </w:rPr>
              <w:t>内窥镜维修专业证书人员≥</w:t>
            </w:r>
            <w:r>
              <w:rPr>
                <w:rFonts w:ascii="仿宋_GB2312" w:hAnsi="仿宋_GB2312" w:cs="仿宋_GB2312" w:eastAsia="仿宋_GB2312"/>
                <w:sz w:val="21"/>
                <w:color w:val="000000"/>
              </w:rPr>
              <w:t>3</w:t>
            </w:r>
            <w:r>
              <w:rPr>
                <w:rFonts w:ascii="仿宋_GB2312" w:hAnsi="仿宋_GB2312" w:cs="仿宋_GB2312" w:eastAsia="仿宋_GB2312"/>
                <w:sz w:val="21"/>
                <w:color w:val="000000"/>
              </w:rPr>
              <w:t>名｡(需提供证明资料,含社保证明)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､投标人应在合同期内预防性维护≥4次/年,不定期巡查≥2次/年,提供日常技术支持｡</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､投标人须具备7×24小时免费维保热线,响应≤ 2小时, 到场时间≤24小时｡</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､每次维保后须提供维修保养报告,维保结束后提供年度维保汇总报告｡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､投标人提供的所有配件必须来源渠道合规,配备配件为原</w:t>
            </w:r>
            <w:r>
              <w:rPr>
                <w:rFonts w:ascii="仿宋_GB2312" w:hAnsi="仿宋_GB2312" w:cs="仿宋_GB2312" w:eastAsia="仿宋_GB2312"/>
                <w:sz w:val="21"/>
                <w:color w:val="000000"/>
              </w:rPr>
              <w:t>厂</w:t>
            </w:r>
            <w:r>
              <w:rPr>
                <w:rFonts w:ascii="仿宋_GB2312" w:hAnsi="仿宋_GB2312" w:cs="仿宋_GB2312" w:eastAsia="仿宋_GB2312"/>
                <w:sz w:val="21"/>
                <w:color w:val="000000"/>
              </w:rPr>
              <w:t>全新产品,提供配件S/N码或进口产品报关单｡</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､本次服务为全保服务,无除外内容｡价格中包含人工费､差旅费､技术服务费及配件费等｡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每年至少提供投标产品相关维修技术培训及临床应用培训各一次,以及定期邀请参加相关学术研讨交流活动｡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有专业的检测维修设施设备及工具。</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第一次付款，服务每满半年支付合同总款项四分之一</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第二次付款，服务每满半年支付合同总款项四分之一</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第三次付款，服务每满半年支付合同总款项四分之一</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第四次付款，服务每满半年支付合同总款项四分之一</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 未按合同或磋商文件要求的或者质量不能满足采购人要求的,采购人有权终止合同,并对供应商违约行为进行追究｡ 供应商的磋商响应文件为签订正式书面合同书不可分割的部分,磋商响应应履行相应的责任｡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本次服务为全保服务，无除外内容。价格中包含人工费、差旅费、技术服务费及配件费等。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包括“四表一注”即《资产负债表》《利润表》《现金流量表》《所有者权益变动表》及其附注、会计师事务所营业执照和2个注册会计师证书;(成立时间至提交磋商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包括“四表一注”即《资产负债表》《利润表》《现金流量表》《所有者权益变动表》及其附注、会计师事务所营业执照和2个注册会计师证书;(成立时间至提交磋商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法定代表人授权书(附法定代表人､被授权人身份证复印件及被授权人磋商截止日前一年内已缴存的至少三个月的社会保障资金凭证),法定代表人直接参加磋商,须提供法定代表人身份证明及身份证复印件;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资质证书或备案凭证</w:t>
            </w:r>
          </w:p>
        </w:tc>
        <w:tc>
          <w:tcPr>
            <w:tcW w:type="dxa" w:w="3322"/>
          </w:tcPr>
          <w:p>
            <w:pPr>
              <w:pStyle w:val="null3"/>
            </w:pPr>
            <w:r>
              <w:rPr>
                <w:rFonts w:ascii="仿宋_GB2312" w:hAnsi="仿宋_GB2312" w:cs="仿宋_GB2312" w:eastAsia="仿宋_GB2312"/>
              </w:rPr>
              <w:t>供应商为代理商的提供医疗器械经营许可证或备案凭证,供应商为生产厂商的提供医疗器械生产许可证或备案凭证;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包括但不限于:①保养前设备状态评估;②安全检查;③运行状况检查;④硬件校准及维护;满分10分｡每有一项缺项扣2.5分,每一项有缺陷扣1-2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服务指标</w:t>
            </w:r>
          </w:p>
        </w:tc>
        <w:tc>
          <w:tcPr>
            <w:tcW w:type="dxa" w:w="2492"/>
          </w:tcPr>
          <w:p>
            <w:pPr>
              <w:pStyle w:val="null3"/>
            </w:pPr>
            <w:r>
              <w:rPr>
                <w:rFonts w:ascii="仿宋_GB2312" w:hAnsi="仿宋_GB2312" w:cs="仿宋_GB2312" w:eastAsia="仿宋_GB2312"/>
              </w:rPr>
              <w:t>服务指标满足及优于磋商文件服务指标得满分，一般参数（共5项）每负偏离1项扣1.6分，▲项参数（共4项）每负偏离1项扣3分，扣完为止。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针对本项目及采购人实际需求提供详细具体可行的①服务措施承诺､②合同条款的承诺､对服务期限内服务质量､③人员到位情况的承诺､④阐明可提供的咨询或后期服务内容｡ 每有一项缺项扣1分,每一项有缺陷扣0-1分｡缺陷指项目需求不匹配或不能满足项目实施要求及其他不利于项目实施的情况，未提供不得分｡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针对设备可能出现的问题及重大故障,有具体可行的应急措施和解决方案,对故障响应时间､维修服务时限等有明确的承诺｡ ①整体方案详实､贴合实际､实用性强、方案可行､合理､详细全面的计8分; ②整体方案内容欠缺或者内容条理不清晰的计6分; ③整体服案内容只有框架无实质性内容的计4分;④整体方案内容简单,不切合实际情况,不具有操作性或内容有缺项的计2分;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维修服务能力1</w:t>
            </w:r>
          </w:p>
        </w:tc>
        <w:tc>
          <w:tcPr>
            <w:tcW w:type="dxa" w:w="2492"/>
          </w:tcPr>
          <w:p>
            <w:pPr>
              <w:pStyle w:val="null3"/>
            </w:pPr>
            <w:r>
              <w:rPr>
                <w:rFonts w:ascii="仿宋_GB2312" w:hAnsi="仿宋_GB2312" w:cs="仿宋_GB2312" w:eastAsia="仿宋_GB2312"/>
              </w:rPr>
              <w:t>供应商有专业维修场所，面积≥300平米以上得2分，场所面积＜300平米或未提供得0分。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维修服务能力2</w:t>
            </w:r>
          </w:p>
        </w:tc>
        <w:tc>
          <w:tcPr>
            <w:tcW w:type="dxa" w:w="2492"/>
          </w:tcPr>
          <w:p>
            <w:pPr>
              <w:pStyle w:val="null3"/>
            </w:pPr>
            <w:r>
              <w:rPr>
                <w:rFonts w:ascii="仿宋_GB2312" w:hAnsi="仿宋_GB2312" w:cs="仿宋_GB2312" w:eastAsia="仿宋_GB2312"/>
              </w:rPr>
              <w:t>供应商具有生产厂家的相关产品维修培训证明,并提供维修团队专业工程师名单､培训证明，提供3名具有原厂内窥镜维修专业证书和社保证明的得2分,每多增加1名原厂内窥镜维修专业证书和社保证明的加2分,满分8分｡未提供或无证明材料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维修服务能力3</w:t>
            </w:r>
          </w:p>
        </w:tc>
        <w:tc>
          <w:tcPr>
            <w:tcW w:type="dxa" w:w="2492"/>
          </w:tcPr>
          <w:p>
            <w:pPr>
              <w:pStyle w:val="null3"/>
            </w:pPr>
            <w:r>
              <w:rPr>
                <w:rFonts w:ascii="仿宋_GB2312" w:hAnsi="仿宋_GB2312" w:cs="仿宋_GB2312" w:eastAsia="仿宋_GB2312"/>
              </w:rPr>
              <w:t>供应商提供针对本项目拟投入人员,包括但不限于①人员配置;②服务经验;③专业技术能力;④开机保障率保证措施及承诺;⑤技术指导及培训等内容;满分10分｡ 每有一项缺项扣2分,每一项有缺陷扣0.5-1.5分，未提供不得分。缺陷指项目需求不匹配或不能满足项目实施要求及其他不利于项目实施的情况｡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工具配置</w:t>
            </w:r>
          </w:p>
        </w:tc>
        <w:tc>
          <w:tcPr>
            <w:tcW w:type="dxa" w:w="2492"/>
          </w:tcPr>
          <w:p>
            <w:pPr>
              <w:pStyle w:val="null3"/>
            </w:pPr>
            <w:r>
              <w:rPr>
                <w:rFonts w:ascii="仿宋_GB2312" w:hAnsi="仿宋_GB2312" w:cs="仿宋_GB2312" w:eastAsia="仿宋_GB2312"/>
              </w:rPr>
              <w:t>供应商针对本项目提供详细的工具配件,包括但不限于①特殊精密专业工具列表;②特殊精密专业工具须经过国家认可的校正认证机构认证或其授权单位出具的有效检测报告;满分2分｡ 每有一项缺项扣1分,每一项有缺陷扣0.1-1分，未提供不得分｡缺陷指项目需求不匹配或不能满足项目实施要求及其他不利于项目实施的情况｡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零配件储备情况1</w:t>
            </w:r>
          </w:p>
        </w:tc>
        <w:tc>
          <w:tcPr>
            <w:tcW w:type="dxa" w:w="2492"/>
          </w:tcPr>
          <w:p>
            <w:pPr>
              <w:pStyle w:val="null3"/>
            </w:pPr>
            <w:r>
              <w:rPr>
                <w:rFonts w:ascii="仿宋_GB2312" w:hAnsi="仿宋_GB2312" w:cs="仿宋_GB2312" w:eastAsia="仿宋_GB2312"/>
              </w:rPr>
              <w:t>提供“所有更换的零部件为原厂全新备件”承诺书得2分(格式自拟),未提供不得分｡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零配件储备情况2</w:t>
            </w:r>
          </w:p>
        </w:tc>
        <w:tc>
          <w:tcPr>
            <w:tcW w:type="dxa" w:w="2492"/>
          </w:tcPr>
          <w:p>
            <w:pPr>
              <w:pStyle w:val="null3"/>
            </w:pPr>
            <w:r>
              <w:rPr>
                <w:rFonts w:ascii="仿宋_GB2312" w:hAnsi="仿宋_GB2312" w:cs="仿宋_GB2312" w:eastAsia="仿宋_GB2312"/>
              </w:rPr>
              <w:t>供应商应有一定的零备件储存备货,能够保证维修过程中设备零配件的及时更换,①提供备品备件库证明(地址及使用权或所有权的证明材料);②常用零备件的证明材料(包括但不限于:零备件库存列表､图片等)｡满分6分｡ 每有一项缺项扣3分,每一项有缺陷扣0.5-2.5分｡缺陷指项目需求不匹配或不能满足项目实施要求及其他不利于项目实施的｡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零配件储备情况3</w:t>
            </w:r>
          </w:p>
        </w:tc>
        <w:tc>
          <w:tcPr>
            <w:tcW w:type="dxa" w:w="2492"/>
          </w:tcPr>
          <w:p>
            <w:pPr>
              <w:pStyle w:val="null3"/>
            </w:pPr>
            <w:r>
              <w:rPr>
                <w:rFonts w:ascii="仿宋_GB2312" w:hAnsi="仿宋_GB2312" w:cs="仿宋_GB2312" w:eastAsia="仿宋_GB2312"/>
              </w:rPr>
              <w:t>供应商提供配备配件S/N码，每提供一个得1分，最多得8分。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提供2022年03月01日至今(以合同签订日期为准)同类项目业绩合同,每份计2分,满分10分｡ 注:须提供项目完整合同扫描件件,加盖公章｡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 报价×(1-C1);监狱 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