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2023/2024</w:t>
      </w:r>
      <w:bookmarkStart w:id="0" w:name="_GoBack"/>
      <w:bookmarkEnd w:id="0"/>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D4D4DAF">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rPr>
        <w:t>复印件并加盖供应商公章</w:t>
      </w:r>
      <w:r>
        <w:rPr>
          <w:rFonts w:ascii="宋体" w:hAnsi="宋体" w:cs="宋体"/>
          <w:b/>
          <w:bCs/>
          <w:sz w:val="28"/>
          <w:szCs w:val="28"/>
        </w:rPr>
        <w:t>，</w:t>
      </w:r>
      <w:r>
        <w:rPr>
          <w:rFonts w:hint="eastAsia" w:ascii="宋体" w:hAnsi="宋体" w:cs="宋体"/>
          <w:b/>
          <w:bCs/>
          <w:sz w:val="28"/>
          <w:szCs w:val="28"/>
        </w:rPr>
        <w:t>未提供或提供不全的按无效文件处理。</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90C7912"/>
    <w:rsid w:val="413E40B6"/>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419</Characters>
  <Lines>0</Lines>
  <Paragraphs>0</Paragraphs>
  <TotalTime>0</TotalTime>
  <ScaleCrop>false</ScaleCrop>
  <LinksUpToDate>false</LinksUpToDate>
  <CharactersWithSpaces>423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2025-03-28T02:33:35Z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