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版本号：PM招2024-0171720250512001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西南二环立交交通优化工程、二环路雁塔路立交交通优化工程水土保持验收服务项目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PM招2024-01717</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普迈项目管理集团有限公司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普迈项目管理集团有限公司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西南二环立交交通优化工程、二环路雁塔路立交交通优化工程水土保持验收服务项目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PM招2024-01717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西南二环立交交通优化工程、二环路雁塔路立交交通优化工程水土保持验收服务项目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西南二环立交交通优化工程、二环路雁塔路立交交通优化工程水土保持验收服务项目，1项，具体内容详见采购文件第三章。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4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4、社会保障资金缴存证明：提供2024年4月至今已缴存的至少一个月的社会保障资金缴存单据或社保机构开具的社会保险参保缴费情况证明，依法不需要缴纳社会保障资金的单位应提供相关证明材料。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7、法定代表人授权书：法定代表人授权书及被授权人身份证明。（法定代表人直接磋商只须提交其身份证明）</w:t>
      </w:r>
    </w:p>
    <w:p>
      <w:pPr>
        <w:pStyle w:val="null3"/>
      </w:pPr>
      <w:r>
        <w:rPr>
          <w:rFonts w:ascii="仿宋_GB2312" w:hAnsi="仿宋_GB2312" w:cs="仿宋_GB2312" w:eastAsia="仿宋_GB2312"/>
        </w:rPr>
        <w:t>8、投标人不得存在下列情形之一：（1）单位负责人为同一人或者存在直接控股、管理关系的不同投标人，不得参加本次采购活动； （2）为本工程提供水土保持方案、初步设计编制、监测及监理等服务的供应商，不得再参加本项目的采购活动。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西安市雁塔南路300-9号A座西安建设大厦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金一哲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89831059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普迈项目管理集团有限公司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陕西省西安市雁塔区太白南路139号荣禾云图中心11幢4层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杨蕊、付越豪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18710719971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下浮10%执行。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普迈项目管理集团有限公司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普迈项目管理集团有限公司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普迈项目管理集团有限公司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普迈项目管理集团有限公司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普迈项目管理集团有限公司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普迈项目管理集团有限公司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联系人：杨蕊、付越豪</w:t>
      </w:r>
    </w:p>
    <w:p>
      <w:pPr>
        <w:pStyle w:val="null3"/>
      </w:pPr>
      <w:r>
        <w:rPr>
          <w:rFonts w:ascii="仿宋_GB2312" w:hAnsi="仿宋_GB2312" w:cs="仿宋_GB2312" w:eastAsia="仿宋_GB2312"/>
        </w:rPr>
        <w:t>联系电话：18710719971</w:t>
      </w:r>
    </w:p>
    <w:p>
      <w:pPr>
        <w:pStyle w:val="null3"/>
      </w:pPr>
      <w:r>
        <w:rPr>
          <w:rFonts w:ascii="仿宋_GB2312" w:hAnsi="仿宋_GB2312" w:cs="仿宋_GB2312" w:eastAsia="仿宋_GB2312"/>
        </w:rPr>
        <w:t>地址：陕西省西安市雁塔区太白南路139号荣禾云图中心11幢4层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西南二环立交交通优化工程、二环路雁塔路立交交通优化工程水土保持验收服务项目，1项，该项目包括:完成西南二环立交交通优化工程、二环路雁塔路立交交通优化工程相关水土保持验收等相关工作。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西南二环立交交通优化工程、二环路雁塔路立交交通优化工程水土保持验收服务项目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标的名称：西南二环立交交通优化工程、二环路雁塔路立交交通优化工程水土保持验收服务项目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 工程概况</w:t>
            </w:r>
          </w:p>
          <w:p>
            <w:pPr>
              <w:pStyle w:val="null3"/>
              <w:ind w:firstLine="480"/>
              <w:jc w:val="both"/>
            </w:pPr>
            <w:r>
              <w:rPr>
                <w:rFonts w:ascii="仿宋_GB2312" w:hAnsi="仿宋_GB2312" w:cs="仿宋_GB2312" w:eastAsia="仿宋_GB2312"/>
                <w:shd w:fill="FFFFFF" w:val="clear"/>
              </w:rPr>
              <w:t>西南二环立交交通优化工程：</w:t>
            </w:r>
            <w:r>
              <w:rPr>
                <w:rFonts w:ascii="仿宋_GB2312" w:hAnsi="仿宋_GB2312" w:cs="仿宋_GB2312" w:eastAsia="仿宋_GB2312"/>
              </w:rPr>
              <w:t>项目南起南二环与桃园南路交叉口，北至西二环与大庆路交叉口，工程全长3.49Km，共包括两个区域五项内容：1.西南二环立交部分，具体内容为：（1）南二环两段主线落地段改造为高架桥，与现状高架衔接；（2）补齐昆明路—西二环左转匝道桥、唐延路—西二环直行匝道桥、西二环—沣惠南路直行匝道桥、西二环—昆明路右转匝道桥，共计4 条；2.西二环（昆明路-大庆路）段提升改造部分，具体内容为：（1）西二环主线桥（昆明路-丰镐西路）段由现状双向四车道提升至双向六车道加两侧集散车道，丰镐西路以北主线落地段两侧新建上下平行匝道；（2）对西二环下桥匝道的衔接道路进行优化提升；（3）对工程范围内的地面交通组织进行优化。利用桥下空间贯通丰登南路群贤路南北向交通，并对丰镐西路、大庆路片区地面交通进行梳理。</w:t>
            </w:r>
          </w:p>
          <w:p>
            <w:pPr>
              <w:pStyle w:val="null3"/>
              <w:ind w:firstLine="440"/>
              <w:jc w:val="both"/>
            </w:pPr>
            <w:r>
              <w:rPr>
                <w:rFonts w:ascii="仿宋_GB2312" w:hAnsi="仿宋_GB2312" w:cs="仿宋_GB2312" w:eastAsia="仿宋_GB2312"/>
              </w:rPr>
              <w:t>项目地点：项目南起南二环与桃园南路交叉口，北至西二环与大庆路交叉口。</w:t>
            </w:r>
          </w:p>
          <w:p>
            <w:pPr>
              <w:pStyle w:val="null3"/>
              <w:ind w:firstLine="440"/>
              <w:jc w:val="both"/>
            </w:pPr>
            <w:r>
              <w:rPr>
                <w:rFonts w:ascii="仿宋_GB2312" w:hAnsi="仿宋_GB2312" w:cs="仿宋_GB2312" w:eastAsia="仿宋_GB2312"/>
              </w:rPr>
              <w:t>二环路雁塔路立交交通优化工程：维持二环路主线交通形式不变，在保证地铁及立交区内地下重要管线安全的前提下，对雁塔路立交和太乙路立交联动优化。具体内容为：（1）对雁塔路立交三个地面匝道进行拓宽、二层中央镂空区域加设盖板，并对立交周边二环路道路交通进行优化提升；（2）对太乙路立交主线桥进行拼宽，增加车道；（3）对雁塔路、建设路等周边路网进行提升改造，迁移兵工局现状天桥和在建设路东口增设人行天桥。</w:t>
            </w:r>
          </w:p>
          <w:p>
            <w:pPr>
              <w:pStyle w:val="null3"/>
              <w:ind w:firstLine="440"/>
              <w:jc w:val="both"/>
            </w:pPr>
            <w:r>
              <w:rPr>
                <w:rFonts w:ascii="仿宋_GB2312" w:hAnsi="仿宋_GB2312" w:cs="仿宋_GB2312" w:eastAsia="仿宋_GB2312"/>
              </w:rPr>
              <w:t>项目地点：雁塔路立交、太乙路立交、建设路、雁塔北路。</w:t>
            </w:r>
          </w:p>
          <w:p>
            <w:pPr>
              <w:pStyle w:val="null3"/>
              <w:jc w:val="both"/>
            </w:pPr>
            <w:r>
              <w:rPr>
                <w:rFonts w:ascii="仿宋_GB2312" w:hAnsi="仿宋_GB2312" w:cs="仿宋_GB2312" w:eastAsia="仿宋_GB2312"/>
                <w:b/>
              </w:rPr>
              <w:t>二、采购内容</w:t>
            </w:r>
          </w:p>
          <w:p>
            <w:pPr>
              <w:pStyle w:val="null3"/>
              <w:ind w:firstLine="440"/>
              <w:jc w:val="both"/>
            </w:pPr>
            <w:r>
              <w:rPr>
                <w:rFonts w:ascii="仿宋_GB2312" w:hAnsi="仿宋_GB2312" w:cs="仿宋_GB2312" w:eastAsia="仿宋_GB2312"/>
              </w:rPr>
              <w:t>1、项目名称：</w:t>
            </w:r>
            <w:r>
              <w:rPr>
                <w:rFonts w:ascii="仿宋_GB2312" w:hAnsi="仿宋_GB2312" w:cs="仿宋_GB2312" w:eastAsia="仿宋_GB2312"/>
                <w:shd w:fill="FFFFFF" w:val="clear"/>
              </w:rPr>
              <w:t>西南二环立交交通优化工程、二环路雁塔路立交交通优化工程水土保持验收服务项目</w:t>
            </w:r>
          </w:p>
          <w:p>
            <w:pPr>
              <w:pStyle w:val="null3"/>
              <w:ind w:firstLine="440"/>
              <w:jc w:val="both"/>
            </w:pPr>
            <w:r>
              <w:rPr>
                <w:rFonts w:ascii="仿宋_GB2312" w:hAnsi="仿宋_GB2312" w:cs="仿宋_GB2312" w:eastAsia="仿宋_GB2312"/>
              </w:rPr>
              <w:t>2、采购需求：完成西南二环立交交通优化工程、二环路雁塔路立交交通优化工程相关水土保持验收等相关工作。</w:t>
            </w:r>
          </w:p>
          <w:p>
            <w:pPr>
              <w:pStyle w:val="null3"/>
              <w:ind w:firstLine="440"/>
              <w:jc w:val="both"/>
            </w:pPr>
            <w:r>
              <w:rPr>
                <w:rFonts w:ascii="仿宋_GB2312" w:hAnsi="仿宋_GB2312" w:cs="仿宋_GB2312" w:eastAsia="仿宋_GB2312"/>
              </w:rPr>
              <w:t>注：各项目需开展的水土保持验收服务明细详见附件 1。</w:t>
            </w:r>
          </w:p>
          <w:p>
            <w:pPr>
              <w:pStyle w:val="null3"/>
              <w:ind w:firstLine="440"/>
              <w:jc w:val="both"/>
            </w:pPr>
            <w:r>
              <w:rPr>
                <w:rFonts w:ascii="仿宋_GB2312" w:hAnsi="仿宋_GB2312" w:cs="仿宋_GB2312" w:eastAsia="仿宋_GB2312"/>
              </w:rPr>
              <w:t>3、</w:t>
            </w:r>
            <w:r>
              <w:rPr>
                <w:rFonts w:ascii="仿宋_GB2312" w:hAnsi="仿宋_GB2312" w:cs="仿宋_GB2312" w:eastAsia="仿宋_GB2312"/>
                <w:shd w:fill="FFFFFF" w:val="clear"/>
              </w:rPr>
              <w:t>服</w:t>
            </w:r>
            <w:r>
              <w:rPr>
                <w:rFonts w:ascii="仿宋_GB2312" w:hAnsi="仿宋_GB2312" w:cs="仿宋_GB2312" w:eastAsia="仿宋_GB2312"/>
                <w:shd w:fill="FFFFFF" w:val="clear"/>
              </w:rPr>
              <w:t>务期限：合同签订之日起至各工程具备水土保持设施验收条件后25工作日内完成水土保持设施验收向监管部门报备，并取得报备回执。</w:t>
            </w:r>
          </w:p>
          <w:p>
            <w:pPr>
              <w:pStyle w:val="null3"/>
              <w:ind w:firstLine="440"/>
              <w:jc w:val="both"/>
            </w:pPr>
            <w:r>
              <w:rPr>
                <w:rFonts w:ascii="仿宋_GB2312" w:hAnsi="仿宋_GB2312" w:cs="仿宋_GB2312" w:eastAsia="仿宋_GB2312"/>
                <w:shd w:fill="FFFFFF" w:val="clear"/>
              </w:rPr>
              <w:t>4、采购预算：</w:t>
            </w:r>
            <w:r>
              <w:rPr>
                <w:rFonts w:ascii="仿宋_GB2312" w:hAnsi="仿宋_GB2312" w:cs="仿宋_GB2312" w:eastAsia="仿宋_GB2312"/>
                <w:shd w:fill="FFFFFF" w:val="clear"/>
              </w:rPr>
              <w:t>200000.00</w:t>
            </w:r>
            <w:r>
              <w:rPr>
                <w:rFonts w:ascii="仿宋_GB2312" w:hAnsi="仿宋_GB2312" w:cs="仿宋_GB2312" w:eastAsia="仿宋_GB2312"/>
                <w:shd w:fill="FFFFFF" w:val="clear"/>
              </w:rPr>
              <w:t>元，最高限价：</w:t>
            </w:r>
            <w:r>
              <w:rPr>
                <w:rFonts w:ascii="仿宋_GB2312" w:hAnsi="仿宋_GB2312" w:cs="仿宋_GB2312" w:eastAsia="仿宋_GB2312"/>
                <w:shd w:fill="FFFFFF" w:val="clear"/>
              </w:rPr>
              <w:t>200000.00</w:t>
            </w:r>
            <w:r>
              <w:rPr>
                <w:rFonts w:ascii="仿宋_GB2312" w:hAnsi="仿宋_GB2312" w:cs="仿宋_GB2312" w:eastAsia="仿宋_GB2312"/>
                <w:shd w:fill="FFFFFF" w:val="clear"/>
              </w:rPr>
              <w:t>元。</w:t>
            </w:r>
          </w:p>
          <w:p>
            <w:pPr>
              <w:pStyle w:val="null3"/>
              <w:ind w:firstLine="440"/>
              <w:jc w:val="both"/>
            </w:pPr>
            <w:r>
              <w:rPr>
                <w:rFonts w:ascii="仿宋_GB2312" w:hAnsi="仿宋_GB2312" w:cs="仿宋_GB2312" w:eastAsia="仿宋_GB2312"/>
                <w:shd w:fill="FFFFFF" w:val="clear"/>
              </w:rPr>
              <w:t>分项报价限价详见附2。</w:t>
            </w:r>
          </w:p>
          <w:p>
            <w:pPr>
              <w:pStyle w:val="null3"/>
              <w:ind w:firstLine="440"/>
              <w:jc w:val="both"/>
            </w:pPr>
            <w:r>
              <w:rPr>
                <w:rFonts w:ascii="仿宋_GB2312" w:hAnsi="仿宋_GB2312" w:cs="仿宋_GB2312" w:eastAsia="仿宋_GB2312"/>
                <w:shd w:fill="FFFFFF" w:val="clear"/>
              </w:rPr>
              <w:t>5、服务范围：</w:t>
            </w:r>
          </w:p>
          <w:p>
            <w:pPr>
              <w:pStyle w:val="null3"/>
              <w:ind w:firstLine="440"/>
              <w:jc w:val="both"/>
            </w:pPr>
            <w:r>
              <w:rPr>
                <w:rFonts w:ascii="仿宋_GB2312" w:hAnsi="仿宋_GB2312" w:cs="仿宋_GB2312" w:eastAsia="仿宋_GB2312"/>
                <w:shd w:fill="FFFFFF" w:val="clear"/>
              </w:rPr>
              <w:t>根据项目需要及相关法律法规的要求，完成西南二环立交交通优化工程、二环路雁塔路立交交通优化工程相关水土保持验收。</w:t>
            </w:r>
          </w:p>
          <w:p>
            <w:pPr>
              <w:pStyle w:val="null3"/>
              <w:ind w:firstLine="440"/>
              <w:jc w:val="both"/>
            </w:pPr>
            <w:r>
              <w:rPr>
                <w:rFonts w:ascii="仿宋_GB2312" w:hAnsi="仿宋_GB2312" w:cs="仿宋_GB2312" w:eastAsia="仿宋_GB2312"/>
                <w:shd w:fill="FFFFFF" w:val="clear"/>
              </w:rPr>
              <w:t>6</w:t>
            </w:r>
            <w:r>
              <w:rPr>
                <w:rFonts w:ascii="仿宋_GB2312" w:hAnsi="仿宋_GB2312" w:cs="仿宋_GB2312" w:eastAsia="仿宋_GB2312"/>
                <w:shd w:fill="FFFFFF" w:val="clear"/>
              </w:rPr>
              <w:t>、</w:t>
            </w:r>
            <w:r>
              <w:rPr>
                <w:rFonts w:ascii="仿宋_GB2312" w:hAnsi="仿宋_GB2312" w:cs="仿宋_GB2312" w:eastAsia="仿宋_GB2312"/>
              </w:rPr>
              <w:t>结算单位：采购人结算，具体以合同结算为准。</w:t>
            </w:r>
          </w:p>
          <w:p>
            <w:pPr>
              <w:pStyle w:val="null3"/>
              <w:ind w:firstLine="880"/>
              <w:jc w:val="both"/>
            </w:pPr>
            <w:r>
              <w:rPr>
                <w:rFonts w:ascii="仿宋_GB2312" w:hAnsi="仿宋_GB2312" w:cs="仿宋_GB2312" w:eastAsia="仿宋_GB2312"/>
              </w:rPr>
              <w:t>付款方式：以合同约定为准。</w:t>
            </w:r>
          </w:p>
          <w:p>
            <w:pPr>
              <w:pStyle w:val="null3"/>
              <w:ind w:firstLine="400"/>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b/>
              </w:rPr>
              <w:t>三、服务内容及要求</w:t>
            </w:r>
          </w:p>
          <w:p>
            <w:pPr>
              <w:pStyle w:val="null3"/>
              <w:ind w:firstLine="400"/>
              <w:jc w:val="both"/>
            </w:pPr>
            <w:r>
              <w:rPr>
                <w:rFonts w:ascii="仿宋_GB2312" w:hAnsi="仿宋_GB2312" w:cs="仿宋_GB2312" w:eastAsia="仿宋_GB2312"/>
              </w:rPr>
              <w:t>1、服务要求</w:t>
            </w:r>
          </w:p>
          <w:p>
            <w:pPr>
              <w:pStyle w:val="null3"/>
              <w:ind w:firstLine="400"/>
              <w:jc w:val="both"/>
            </w:pPr>
            <w:r>
              <w:rPr>
                <w:rFonts w:ascii="仿宋_GB2312" w:hAnsi="仿宋_GB2312" w:cs="仿宋_GB2312" w:eastAsia="仿宋_GB2312"/>
              </w:rPr>
              <w:t>供应商按照《中华人民共和国水土保持法》《中华人民共和国水土保持法实施条例》、《开发建设项目水土保持设施验收管理办法》等国家及地方相关法律法规和项目水土保持方案报告书报批稿、项目水土保持批复要求为依据，开展并完成包括但不限于以下工作：</w:t>
            </w:r>
          </w:p>
          <w:p>
            <w:pPr>
              <w:pStyle w:val="null3"/>
              <w:ind w:firstLine="400"/>
              <w:jc w:val="both"/>
            </w:pPr>
            <w:r>
              <w:rPr>
                <w:rFonts w:ascii="仿宋_GB2312" w:hAnsi="仿宋_GB2312" w:cs="仿宋_GB2312" w:eastAsia="仿宋_GB2312"/>
              </w:rPr>
              <w:t>（1）对本项目水土保持设施提供技术指导：根据水土保持有关标准、规范、规程，结合本项目水土保持方案及批复文件，梳理本项目水土保持设计、水保施工、水保监理、水保监测的工作要点和要求，明确本项目水土保持验收的标准和条件， 给本项目水保设施验收提供指导依据。</w:t>
            </w:r>
          </w:p>
          <w:p>
            <w:pPr>
              <w:pStyle w:val="null3"/>
              <w:ind w:firstLine="400"/>
              <w:jc w:val="both"/>
            </w:pPr>
            <w:r>
              <w:rPr>
                <w:rFonts w:ascii="仿宋_GB2312" w:hAnsi="仿宋_GB2312" w:cs="仿宋_GB2312" w:eastAsia="仿宋_GB2312"/>
              </w:rPr>
              <w:t>（2）开展本项目水土保持现状调查，提出水土保持措施整改要求：依据本项目已批复的水土保持方案，结合水土保持相关标准、规范、规程，查阅项目水保设计资料，审查水土保持初步设计、监测季报、年报和监理各方资料，调查项目水土保持设施落实现状，形成水土保持现状自查情况报告，从设计到施工、监理、监测，从资料到现场，对照水保验收标准及条件进行现场水保设施、水保资料等进行符合性审查和工作评价，梳理水土保持验收存在的问题清单，结合现实情况，向采购人提供问题整改建议方案。</w:t>
            </w:r>
          </w:p>
          <w:p>
            <w:pPr>
              <w:pStyle w:val="null3"/>
              <w:ind w:firstLine="400"/>
              <w:jc w:val="both"/>
            </w:pPr>
            <w:r>
              <w:rPr>
                <w:rFonts w:ascii="仿宋_GB2312" w:hAnsi="仿宋_GB2312" w:cs="仿宋_GB2312" w:eastAsia="仿宋_GB2312"/>
              </w:rPr>
              <w:t>（3）检查项目水保自主验收条件，落实水保验收准备工作：组织检查本项目水土保持自主验收条件完备性情况，检查各参建单位水土保持验收资料准备情况并给予指导，负责编制水土保持设施验收报告、验收鉴定书；收集和检查水保监测、监理单位编制的水土保持监测、监理总结报告等其他验收需要的资料。</w:t>
            </w:r>
          </w:p>
          <w:p>
            <w:pPr>
              <w:pStyle w:val="null3"/>
              <w:ind w:firstLine="400"/>
              <w:jc w:val="both"/>
            </w:pPr>
            <w:r>
              <w:rPr>
                <w:rFonts w:ascii="仿宋_GB2312" w:hAnsi="仿宋_GB2312" w:cs="仿宋_GB2312" w:eastAsia="仿宋_GB2312"/>
              </w:rPr>
              <w:t>（4）开展水土保持设施验收，依法依规及依标准、依程序组织水土保持自主验收工作，编写水土保持验收鉴定书、水土保持工作总结报告等验收材料；参加并配合水土保持主管部门的验收核查工作，具备水土保持设施验收条件后组织水土保持验收审查。</w:t>
            </w:r>
          </w:p>
          <w:p>
            <w:pPr>
              <w:pStyle w:val="null3"/>
              <w:ind w:firstLine="400"/>
              <w:jc w:val="both"/>
            </w:pPr>
            <w:r>
              <w:rPr>
                <w:rFonts w:ascii="仿宋_GB2312" w:hAnsi="仿宋_GB2312" w:cs="仿宋_GB2312" w:eastAsia="仿宋_GB2312"/>
              </w:rPr>
              <w:t>（5）落实水土保持设施验收公示公开和报备工作：整理水土保持验收公示资料，落实验收信息公开工作；对公众反映的主要问题和意见给出及时处理方案和回应意见；落实水土保持设施验收资料收集、整理工作，落实水土保持设施验收报备工作，并取得报备回执。</w:t>
            </w:r>
          </w:p>
          <w:p>
            <w:pPr>
              <w:pStyle w:val="null3"/>
              <w:ind w:firstLine="400"/>
              <w:jc w:val="both"/>
            </w:pPr>
            <w:r>
              <w:rPr>
                <w:rFonts w:ascii="仿宋_GB2312" w:hAnsi="仿宋_GB2312" w:cs="仿宋_GB2312" w:eastAsia="仿宋_GB2312"/>
              </w:rPr>
              <w:t>（6）对项目竣工验收前的水保自主验收报备后发现问题整改、管理养护等方面提供水保设施验收的全过程技术咨询服务。</w:t>
            </w:r>
          </w:p>
          <w:p>
            <w:pPr>
              <w:pStyle w:val="null3"/>
              <w:ind w:firstLine="400"/>
              <w:jc w:val="both"/>
            </w:pPr>
            <w:r>
              <w:rPr>
                <w:rFonts w:ascii="仿宋_GB2312" w:hAnsi="仿宋_GB2312" w:cs="仿宋_GB2312" w:eastAsia="仿宋_GB2312"/>
              </w:rPr>
              <w:t>（7）编制水土保持设施验收报告（包括但不限于：项目及项目概况，</w:t>
            </w:r>
          </w:p>
          <w:p>
            <w:pPr>
              <w:pStyle w:val="null3"/>
              <w:jc w:val="both"/>
            </w:pPr>
            <w:r>
              <w:rPr>
                <w:rFonts w:ascii="仿宋_GB2312" w:hAnsi="仿宋_GB2312" w:cs="仿宋_GB2312" w:eastAsia="仿宋_GB2312"/>
              </w:rPr>
              <w:t>水土保持方案和设计情况，水土保持方案实施情况，水土保持工程质量，项目初期运行及水土保持效果、水土保持管理、验收结论与建议、附件与附图等水保验收所需资料）</w:t>
            </w:r>
          </w:p>
          <w:p>
            <w:pPr>
              <w:pStyle w:val="null3"/>
              <w:ind w:firstLine="400"/>
              <w:jc w:val="both"/>
            </w:pPr>
            <w:r>
              <w:rPr>
                <w:rFonts w:ascii="仿宋_GB2312" w:hAnsi="仿宋_GB2312" w:cs="仿宋_GB2312" w:eastAsia="仿宋_GB2312"/>
              </w:rPr>
              <w:t>*2、技术要求：</w:t>
            </w:r>
          </w:p>
          <w:p>
            <w:pPr>
              <w:pStyle w:val="null3"/>
              <w:ind w:firstLine="400"/>
              <w:jc w:val="both"/>
            </w:pPr>
            <w:r>
              <w:rPr>
                <w:rFonts w:ascii="仿宋_GB2312" w:hAnsi="仿宋_GB2312" w:cs="仿宋_GB2312" w:eastAsia="仿宋_GB2312"/>
              </w:rPr>
              <w:t>2.1必须满足的技术要求：</w:t>
            </w:r>
          </w:p>
          <w:p>
            <w:pPr>
              <w:pStyle w:val="null3"/>
              <w:ind w:firstLine="400"/>
              <w:jc w:val="both"/>
            </w:pPr>
            <w:r>
              <w:rPr>
                <w:rFonts w:ascii="仿宋_GB2312" w:hAnsi="仿宋_GB2312" w:cs="仿宋_GB2312" w:eastAsia="仿宋_GB2312"/>
              </w:rPr>
              <w:t>（1）质量要求：符合国家相关行业规范标准要求及采购人需求。</w:t>
            </w:r>
          </w:p>
          <w:p>
            <w:pPr>
              <w:pStyle w:val="null3"/>
              <w:ind w:firstLine="400"/>
              <w:jc w:val="both"/>
            </w:pPr>
            <w:r>
              <w:rPr>
                <w:rFonts w:ascii="仿宋_GB2312" w:hAnsi="仿宋_GB2312" w:cs="仿宋_GB2312" w:eastAsia="仿宋_GB2312"/>
              </w:rPr>
              <w:t>（2）技术标准：</w:t>
            </w:r>
          </w:p>
          <w:p>
            <w:pPr>
              <w:pStyle w:val="null3"/>
              <w:ind w:firstLine="400"/>
              <w:jc w:val="both"/>
            </w:pPr>
            <w:r>
              <w:rPr>
                <w:rFonts w:ascii="仿宋_GB2312" w:hAnsi="仿宋_GB2312" w:cs="仿宋_GB2312" w:eastAsia="仿宋_GB2312"/>
              </w:rPr>
              <w:t>1）《中华人民共和国水土保持法》（全国人大常委会，2010年12月25修订，2011年3月1日施行）；</w:t>
            </w:r>
          </w:p>
          <w:p>
            <w:pPr>
              <w:pStyle w:val="null3"/>
              <w:ind w:firstLine="400"/>
              <w:jc w:val="both"/>
            </w:pPr>
            <w:r>
              <w:rPr>
                <w:rFonts w:ascii="仿宋_GB2312" w:hAnsi="仿宋_GB2312" w:cs="仿宋_GB2312" w:eastAsia="仿宋_GB2312"/>
              </w:rPr>
              <w:t>2）《中华人民共和国环境保护法》（全国人大常委会，2014年4月24日修订，2015年1月1日实施）；</w:t>
            </w:r>
          </w:p>
          <w:p>
            <w:pPr>
              <w:pStyle w:val="null3"/>
              <w:ind w:firstLine="400"/>
              <w:jc w:val="both"/>
            </w:pPr>
            <w:r>
              <w:rPr>
                <w:rFonts w:ascii="仿宋_GB2312" w:hAnsi="仿宋_GB2312" w:cs="仿宋_GB2312" w:eastAsia="仿宋_GB2312"/>
              </w:rPr>
              <w:t>3）《中华人民共和国土地管理法》（全国人大常委会，2004年8月8日修订）；</w:t>
            </w:r>
          </w:p>
          <w:p>
            <w:pPr>
              <w:pStyle w:val="null3"/>
              <w:ind w:firstLine="400"/>
              <w:jc w:val="both"/>
            </w:pPr>
            <w:r>
              <w:rPr>
                <w:rFonts w:ascii="仿宋_GB2312" w:hAnsi="仿宋_GB2312" w:cs="仿宋_GB2312" w:eastAsia="仿宋_GB2312"/>
              </w:rPr>
              <w:t>4）《建设项目环境保护管理条例》（国务院[1998]第253号令，1998年11月18日）；</w:t>
            </w:r>
          </w:p>
          <w:p>
            <w:pPr>
              <w:pStyle w:val="null3"/>
              <w:ind w:firstLine="400"/>
              <w:jc w:val="both"/>
            </w:pPr>
            <w:r>
              <w:rPr>
                <w:rFonts w:ascii="仿宋_GB2312" w:hAnsi="仿宋_GB2312" w:cs="仿宋_GB2312" w:eastAsia="仿宋_GB2312"/>
              </w:rPr>
              <w:t>5）《陕西省水土保持条例》（陕西省人大常委会，2013年7月26日颁布，2013年10月1日起实施）；</w:t>
            </w:r>
          </w:p>
          <w:p>
            <w:pPr>
              <w:pStyle w:val="null3"/>
              <w:ind w:firstLine="400"/>
              <w:jc w:val="both"/>
            </w:pPr>
            <w:r>
              <w:rPr>
                <w:rFonts w:ascii="仿宋_GB2312" w:hAnsi="仿宋_GB2312" w:cs="仿宋_GB2312" w:eastAsia="仿宋_GB2312"/>
              </w:rPr>
              <w:t>6）《水土保持生态环境监测网络管理办法》（水利部，2000年1月30日颁布，2014年8月19日根据《水利部关于废止和修改部分规章的决定》修改）；</w:t>
            </w:r>
          </w:p>
          <w:p>
            <w:pPr>
              <w:pStyle w:val="null3"/>
              <w:ind w:firstLine="400"/>
              <w:jc w:val="both"/>
            </w:pPr>
            <w:r>
              <w:rPr>
                <w:rFonts w:ascii="仿宋_GB2312" w:hAnsi="仿宋_GB2312" w:cs="仿宋_GB2312" w:eastAsia="仿宋_GB2312"/>
              </w:rPr>
              <w:t>7）《开发建设项目水土保持设施验收管理办法》（水利部第16号令，2002年10月16日发布；2005年7月8日以水利部第24号令修订）；</w:t>
            </w:r>
          </w:p>
          <w:p>
            <w:pPr>
              <w:pStyle w:val="null3"/>
              <w:ind w:firstLine="400"/>
              <w:jc w:val="both"/>
            </w:pPr>
            <w:r>
              <w:rPr>
                <w:rFonts w:ascii="仿宋_GB2312" w:hAnsi="仿宋_GB2312" w:cs="仿宋_GB2312" w:eastAsia="仿宋_GB2312"/>
              </w:rPr>
              <w:t>8）《生产建设项目水土保持设施自主验收规程（试行）》（办水保[2018] 133号）；</w:t>
            </w:r>
          </w:p>
          <w:p>
            <w:pPr>
              <w:pStyle w:val="null3"/>
              <w:ind w:firstLine="400"/>
              <w:jc w:val="both"/>
            </w:pPr>
            <w:r>
              <w:rPr>
                <w:rFonts w:ascii="仿宋_GB2312" w:hAnsi="仿宋_GB2312" w:cs="仿宋_GB2312" w:eastAsia="仿宋_GB2312"/>
              </w:rPr>
              <w:t>9）《水保水利部关于进一步深化“放管服”改革全面加强水土保持监管的意见》水保[2019]160号；</w:t>
            </w:r>
          </w:p>
          <w:p>
            <w:pPr>
              <w:pStyle w:val="null3"/>
              <w:ind w:firstLine="400"/>
              <w:jc w:val="both"/>
            </w:pPr>
            <w:r>
              <w:rPr>
                <w:rFonts w:ascii="仿宋_GB2312" w:hAnsi="仿宋_GB2312" w:cs="仿宋_GB2312" w:eastAsia="仿宋_GB2312"/>
              </w:rPr>
              <w:t>10）《生产建设项目水土保持技术标准》（GB50433-2018）；</w:t>
            </w:r>
          </w:p>
          <w:p>
            <w:pPr>
              <w:pStyle w:val="null3"/>
              <w:ind w:firstLine="400"/>
              <w:jc w:val="both"/>
            </w:pPr>
            <w:r>
              <w:rPr>
                <w:rFonts w:ascii="仿宋_GB2312" w:hAnsi="仿宋_GB2312" w:cs="仿宋_GB2312" w:eastAsia="仿宋_GB2312"/>
              </w:rPr>
              <w:t>11）《生产建设项目水土流失防治标准》（GB/T50434-2018）；</w:t>
            </w:r>
          </w:p>
          <w:p>
            <w:pPr>
              <w:pStyle w:val="null3"/>
              <w:ind w:firstLine="400"/>
              <w:jc w:val="both"/>
            </w:pPr>
            <w:r>
              <w:rPr>
                <w:rFonts w:ascii="仿宋_GB2312" w:hAnsi="仿宋_GB2312" w:cs="仿宋_GB2312" w:eastAsia="仿宋_GB2312"/>
              </w:rPr>
              <w:t>12）国家、省、市发布其他相关法律法规等文件。</w:t>
            </w:r>
          </w:p>
          <w:p>
            <w:pPr>
              <w:pStyle w:val="null3"/>
              <w:ind w:firstLine="400"/>
              <w:jc w:val="both"/>
            </w:pPr>
            <w:r>
              <w:rPr>
                <w:rFonts w:ascii="仿宋_GB2312" w:hAnsi="仿宋_GB2312" w:cs="仿宋_GB2312" w:eastAsia="仿宋_GB2312"/>
              </w:rPr>
              <w:t>*3.商务要求</w:t>
            </w:r>
          </w:p>
          <w:p>
            <w:pPr>
              <w:pStyle w:val="null3"/>
              <w:ind w:firstLine="400"/>
              <w:jc w:val="both"/>
            </w:pPr>
            <w:r>
              <w:rPr>
                <w:rFonts w:ascii="仿宋_GB2312" w:hAnsi="仿宋_GB2312" w:cs="仿宋_GB2312" w:eastAsia="仿宋_GB2312"/>
              </w:rPr>
              <w:t>3.1 须满足的商务要求</w:t>
            </w:r>
          </w:p>
          <w:p>
            <w:pPr>
              <w:pStyle w:val="null3"/>
              <w:ind w:firstLine="400"/>
              <w:jc w:val="both"/>
            </w:pPr>
            <w:r>
              <w:rPr>
                <w:rFonts w:ascii="仿宋_GB2312" w:hAnsi="仿宋_GB2312" w:cs="仿宋_GB2312" w:eastAsia="仿宋_GB2312"/>
              </w:rPr>
              <w:t>（1）投标报价总价未超过规定的采购预算价或总价最高限价，分项报价未超过分项报价最高限价；</w:t>
            </w:r>
          </w:p>
          <w:p>
            <w:pPr>
              <w:pStyle w:val="null3"/>
              <w:ind w:firstLine="400"/>
              <w:jc w:val="both"/>
            </w:pPr>
            <w:r>
              <w:rPr>
                <w:rFonts w:ascii="仿宋_GB2312" w:hAnsi="仿宋_GB2312" w:cs="仿宋_GB2312" w:eastAsia="仿宋_GB2312"/>
              </w:rPr>
              <w:t>（2）服务期限：合同签订之日起至各工程具备水土保持设施验收条件后25工作日内完成水土保持设施验收向监管部门报备，并取得报备回执。</w:t>
            </w:r>
          </w:p>
          <w:p>
            <w:pPr>
              <w:pStyle w:val="null3"/>
              <w:ind w:firstLine="400"/>
              <w:jc w:val="both"/>
            </w:pPr>
            <w:r>
              <w:rPr>
                <w:rFonts w:ascii="仿宋_GB2312" w:hAnsi="仿宋_GB2312" w:cs="仿宋_GB2312" w:eastAsia="仿宋_GB2312"/>
              </w:rPr>
              <w:t>（3）对合同中规定的付款方式及双方的权利和义务是否做出了实质性响应；</w:t>
            </w:r>
          </w:p>
          <w:p>
            <w:pPr>
              <w:pStyle w:val="null3"/>
              <w:ind w:firstLine="400"/>
              <w:jc w:val="both"/>
            </w:pPr>
            <w:r>
              <w:rPr>
                <w:rFonts w:ascii="仿宋_GB2312" w:hAnsi="仿宋_GB2312" w:cs="仿宋_GB2312" w:eastAsia="仿宋_GB2312"/>
              </w:rPr>
              <w:t>（4）投标有效期符合招标文件要求。</w:t>
            </w:r>
          </w:p>
          <w:p>
            <w:pPr>
              <w:pStyle w:val="null3"/>
              <w:ind w:firstLine="400"/>
              <w:jc w:val="both"/>
            </w:pPr>
            <w:r>
              <w:rPr>
                <w:rFonts w:ascii="仿宋_GB2312" w:hAnsi="仿宋_GB2312" w:cs="仿宋_GB2312" w:eastAsia="仿宋_GB2312"/>
              </w:rPr>
              <w:t>3.2 合同专用条款和通用条款的全部内容。</w:t>
            </w:r>
          </w:p>
          <w:p>
            <w:pPr>
              <w:pStyle w:val="null3"/>
              <w:ind w:firstLine="400"/>
              <w:jc w:val="both"/>
            </w:pPr>
            <w:r>
              <w:rPr>
                <w:rFonts w:ascii="仿宋_GB2312" w:hAnsi="仿宋_GB2312" w:cs="仿宋_GB2312" w:eastAsia="仿宋_GB2312"/>
              </w:rPr>
              <w:t>注：“*”号标记的条款为技术和商务的实质性要求和条件，若偏离则为无效投标。</w:t>
            </w:r>
          </w:p>
          <w:p>
            <w:pPr>
              <w:pStyle w:val="null3"/>
              <w:spacing w:before="60"/>
              <w:jc w:val="both"/>
            </w:pPr>
            <w:r>
              <w:rPr>
                <w:rFonts w:ascii="仿宋_GB2312" w:hAnsi="仿宋_GB2312" w:cs="仿宋_GB2312" w:eastAsia="仿宋_GB2312"/>
              </w:rPr>
              <w:t>附件 1.各项目需开展的水土保持验收服务明细</w:t>
            </w:r>
          </w:p>
          <w:tbl>
            <w:tblPr>
              <w:tblBorders>
                <w:top w:val="none" w:color="000000" w:sz="4"/>
                <w:left w:val="none" w:color="000000" w:sz="4"/>
                <w:bottom w:val="none" w:color="000000" w:sz="4"/>
                <w:right w:val="none" w:color="000000" w:sz="4"/>
                <w:insideH w:val="none"/>
                <w:insideV w:val="none"/>
              </w:tblBorders>
            </w:tblPr>
            <w:tblGrid>
              <w:gridCol w:w="271"/>
              <w:gridCol w:w="1291"/>
              <w:gridCol w:w="983"/>
            </w:tblGrid>
            <w:tr>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rPr>
                    <w:t>序号</w:t>
                  </w:r>
                </w:p>
              </w:tc>
              <w:tc>
                <w:tcPr>
                  <w:tcW w:type="dxa" w:w="12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项目内容</w:t>
                  </w:r>
                </w:p>
              </w:tc>
              <w:tc>
                <w:tcPr>
                  <w:tcW w:type="dxa" w:w="9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服务阶段</w:t>
                  </w:r>
                </w:p>
              </w:tc>
            </w:tr>
            <w:tr>
              <w:tc>
                <w:tcPr>
                  <w:tcW w:type="dxa" w:w="2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1</w:t>
                  </w:r>
                </w:p>
              </w:tc>
              <w:tc>
                <w:tcPr>
                  <w:tcW w:type="dxa" w:w="1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西南二环立交交通优化工程水土保持验收服务</w:t>
                  </w:r>
                </w:p>
              </w:tc>
              <w:tc>
                <w:tcPr>
                  <w:tcW w:type="dxa" w:w="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项目竣备后，编制项目水土保持验收报告、验收鉴定书</w:t>
                  </w:r>
                </w:p>
              </w:tc>
            </w:tr>
            <w:tr>
              <w:tc>
                <w:tcPr>
                  <w:tcW w:type="dxa" w:w="2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2</w:t>
                  </w:r>
                </w:p>
              </w:tc>
              <w:tc>
                <w:tcPr>
                  <w:tcW w:type="dxa" w:w="1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二环路雁塔路立交交通优化工程水土保持验收服务</w:t>
                  </w:r>
                </w:p>
              </w:tc>
              <w:tc>
                <w:tcPr>
                  <w:tcW w:type="dxa" w:w="9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项目竣备后，编制项目水土保持验收报告、验收鉴定书</w:t>
                  </w:r>
                </w:p>
              </w:tc>
            </w:tr>
          </w:tbl>
          <w:p>
            <w:pPr>
              <w:pStyle w:val="null3"/>
              <w:spacing w:before="60"/>
              <w:jc w:val="both"/>
            </w:pPr>
            <w:r>
              <w:rPr>
                <w:rFonts w:ascii="仿宋_GB2312" w:hAnsi="仿宋_GB2312" w:cs="仿宋_GB2312" w:eastAsia="仿宋_GB2312"/>
              </w:rPr>
              <w:t>附件 2.最高限价表</w:t>
            </w:r>
          </w:p>
          <w:tbl>
            <w:tblPr>
              <w:tblBorders>
                <w:top w:val="none" w:color="000000" w:sz="4"/>
                <w:left w:val="none" w:color="000000" w:sz="4"/>
                <w:bottom w:val="none" w:color="000000" w:sz="4"/>
                <w:right w:val="none" w:color="000000" w:sz="4"/>
                <w:insideH w:val="none"/>
                <w:insideV w:val="none"/>
              </w:tblBorders>
            </w:tblPr>
            <w:tblGrid>
              <w:gridCol w:w="148"/>
              <w:gridCol w:w="1387"/>
              <w:gridCol w:w="530"/>
              <w:gridCol w:w="487"/>
            </w:tblGrid>
            <w:tr>
              <w:tc>
                <w:tcPr>
                  <w:tcW w:type="dxa" w:w="148"/>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序号</w:t>
                  </w:r>
                </w:p>
              </w:tc>
              <w:tc>
                <w:tcPr>
                  <w:tcW w:type="dxa" w:w="138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项目内容</w:t>
                  </w:r>
                </w:p>
              </w:tc>
              <w:tc>
                <w:tcPr>
                  <w:tcW w:type="dxa" w:w="53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rPr>
                    <w:t>分项限价</w:t>
                  </w:r>
                </w:p>
                <w:p>
                  <w:pPr>
                    <w:pStyle w:val="null3"/>
                    <w:spacing w:before="75"/>
                    <w:jc w:val="center"/>
                  </w:pPr>
                  <w:r>
                    <w:rPr>
                      <w:rFonts w:ascii="仿宋_GB2312" w:hAnsi="仿宋_GB2312" w:cs="仿宋_GB2312" w:eastAsia="仿宋_GB2312"/>
                    </w:rPr>
                    <w:t>（万元）</w:t>
                  </w:r>
                </w:p>
              </w:tc>
              <w:tc>
                <w:tcPr>
                  <w:tcW w:type="dxa" w:w="48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rPr>
                    <w:t>合计总价</w:t>
                  </w:r>
                </w:p>
                <w:p>
                  <w:pPr>
                    <w:pStyle w:val="null3"/>
                    <w:spacing w:before="75"/>
                    <w:jc w:val="center"/>
                  </w:pPr>
                  <w:r>
                    <w:rPr>
                      <w:rFonts w:ascii="仿宋_GB2312" w:hAnsi="仿宋_GB2312" w:cs="仿宋_GB2312" w:eastAsia="仿宋_GB2312"/>
                    </w:rPr>
                    <w:t>最高限价</w:t>
                  </w:r>
                </w:p>
                <w:p>
                  <w:pPr>
                    <w:pStyle w:val="null3"/>
                    <w:spacing w:before="75"/>
                    <w:jc w:val="center"/>
                  </w:pPr>
                  <w:r>
                    <w:rPr>
                      <w:rFonts w:ascii="仿宋_GB2312" w:hAnsi="仿宋_GB2312" w:cs="仿宋_GB2312" w:eastAsia="仿宋_GB2312"/>
                    </w:rPr>
                    <w:t>（万元）</w:t>
                  </w:r>
                </w:p>
              </w:tc>
            </w:tr>
            <w:tr>
              <w:tc>
                <w:tcPr>
                  <w:tcW w:type="dxa" w:w="148"/>
                  <w:vMerge/>
                  <w:tcBorders>
                    <w:top w:val="single" w:color="000000" w:sz="4"/>
                    <w:left w:val="single" w:color="000000" w:sz="4"/>
                    <w:bottom w:val="single" w:color="000000" w:sz="4"/>
                    <w:right w:val="single" w:color="000000" w:sz="4"/>
                  </w:tcBorders>
                </w:tcPr>
                <w:p/>
              </w:tc>
              <w:tc>
                <w:tcPr>
                  <w:tcW w:type="dxa" w:w="1387"/>
                  <w:vMerge/>
                  <w:tcBorders>
                    <w:top w:val="single" w:color="000000" w:sz="4"/>
                    <w:left w:val="single" w:color="000000" w:sz="4"/>
                    <w:bottom w:val="single" w:color="000000" w:sz="4"/>
                    <w:right w:val="single" w:color="000000" w:sz="4"/>
                  </w:tcBorders>
                </w:tcPr>
                <w:p/>
              </w:tc>
              <w:tc>
                <w:tcPr>
                  <w:tcW w:type="dxa" w:w="530"/>
                  <w:vMerge/>
                  <w:tcBorders>
                    <w:top w:val="single" w:color="000000" w:sz="4"/>
                    <w:left w:val="single" w:color="000000" w:sz="4"/>
                    <w:bottom w:val="single" w:color="000000" w:sz="4"/>
                    <w:right w:val="single" w:color="000000" w:sz="4"/>
                  </w:tcBorders>
                </w:tcPr>
                <w:p/>
              </w:tc>
              <w:tc>
                <w:tcPr>
                  <w:tcW w:type="dxa" w:w="487"/>
                  <w:vMerge/>
                  <w:tcBorders>
                    <w:top w:val="single" w:color="000000" w:sz="4"/>
                    <w:left w:val="single" w:color="000000" w:sz="4"/>
                    <w:bottom w:val="singl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1</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西南二环立交交通优化工程水土保持验收服务</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rPr>
                    <w:t>10.00</w:t>
                  </w:r>
                </w:p>
              </w:tc>
              <w:tc>
                <w:tcPr>
                  <w:tcW w:type="dxa" w:w="4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rPr>
                    <w:t>20.00</w:t>
                  </w:r>
                </w:p>
              </w:tc>
            </w:tr>
            <w:tr>
              <w:tc>
                <w:tcPr>
                  <w:tcW w:type="dxa" w:w="1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2</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rPr>
                    <w:t>二环路雁塔路立交交通优化工程水土保持验收服务</w:t>
                  </w:r>
                </w:p>
              </w:tc>
              <w:tc>
                <w:tcPr>
                  <w:tcW w:type="dxa" w:w="5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10.00</w:t>
                  </w:r>
                </w:p>
              </w:tc>
              <w:tc>
                <w:tcPr>
                  <w:tcW w:type="dxa" w:w="487"/>
                  <w:vMerge/>
                  <w:tcBorders>
                    <w:top w:val="none" w:color="000000" w:sz="4"/>
                    <w:left w:val="singl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合同签订之日起至各工程具备水土保持设施验收条件后25工作日内完成水土保持设施验收向监管部门报备，并取得报备回执。</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完成《二环路雁塔路立交交通优化工程》水土保持验收向监管部门报备，取得报备完成证明并提供验收报告等成果资料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完成《西南二环立交交通优化工程》水土保持验收向监管部门报备，取得报备完成证明并提供验收报告等成果资料，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壹份（U盘壹份）。2、纸质响应文件正本、副本、电子版，标明供应商名称分开密封递交（响应文件采用双面打印）。3、若电子响应文件与纸质响应文件不一致的，以陕西省政府采购网平台递交电子响应文件为准。4、线下纸质文件递交截止时间：同在线递交电子响应文件截止时间一致；线下纸质文件递交地点：陕西省西安市碑林区红缨路1号天金大厦10楼。如需邮寄响应文件，仅接受顺丰速运（联系人：李工、联系电话：18192653503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4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（1）单位负责人为同一人或者存在直接控股、管理关系的不同投标人，不得参加本次采购活动； （2）为本工程提供水土保持方案、初步设计编制、监测及监理等服务的供应商，不得再参加本项目的采购活动。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分项报价表 中小企业声明函 残疾人福利性单位声明函 供应商应提交的相关资格证明材料 标的清单 供应商承诺书 首轮分项内容报价表 响应函 服务方案说明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分项报价表 中小企业声明函 残疾人福利性单位声明函 供应商应提交的相关资格证明材料 标的清单 供应商承诺书 首轮分项内容报价表 服务方案说明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工作总体安排</w:t>
            </w:r>
          </w:p>
        </w:tc>
        <w:tc>
          <w:tcPr>
            <w:tcW w:type="dxa" w:w="2492"/>
          </w:tcPr>
          <w:p>
            <w:pPr>
              <w:pStyle w:val="null3"/>
            </w:pPr>
            <w:r>
              <w:rPr>
                <w:rFonts w:ascii="仿宋_GB2312" w:hAnsi="仿宋_GB2312" w:cs="仿宋_GB2312" w:eastAsia="仿宋_GB2312"/>
              </w:rPr>
              <w:t>1、工作总体计划安排思路清晰、合理、可行，对项目实施具有较强的指导作用的得（10.0-16.0]； 2、思路基本清晰、具有一定的合理性和可行性，对项目实施可起到一定指导作用的得（5.0-10.0]； 3、思路不清晰、合理性和可行性较差，影响项目实施的得[0.0-5.0]。</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针对本项目重点、难 点分析</w:t>
            </w:r>
          </w:p>
        </w:tc>
        <w:tc>
          <w:tcPr>
            <w:tcW w:type="dxa" w:w="2492"/>
          </w:tcPr>
          <w:p>
            <w:pPr>
              <w:pStyle w:val="null3"/>
            </w:pPr>
            <w:r>
              <w:rPr>
                <w:rFonts w:ascii="仿宋_GB2312" w:hAnsi="仿宋_GB2312" w:cs="仿宋_GB2312" w:eastAsia="仿宋_GB2312"/>
              </w:rPr>
              <w:t>1、重点环节分析准确、全面的得（8.0-12.0]； 2、重点环节分析较准确、较全面的得（4.0-8.0]； 3、重点环节分析有不全面的得[0.0-4.0]；</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项目组人员组成</w:t>
            </w:r>
          </w:p>
        </w:tc>
        <w:tc>
          <w:tcPr>
            <w:tcW w:type="dxa" w:w="2492"/>
          </w:tcPr>
          <w:p>
            <w:pPr>
              <w:pStyle w:val="null3"/>
            </w:pPr>
            <w:r>
              <w:rPr>
                <w:rFonts w:ascii="仿宋_GB2312" w:hAnsi="仿宋_GB2312" w:cs="仿宋_GB2312" w:eastAsia="仿宋_GB2312"/>
              </w:rPr>
              <w:t>1、搭配合理、满足项目需求，总体实力较强得（6.0-8.0]； 2、搭配基本合理，可满足项目需求得（3.0-6.0]； 3、搭配不合理，难以满足项目需求得[0.0-3.0]；</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具体验收工作方案</w:t>
            </w:r>
          </w:p>
        </w:tc>
        <w:tc>
          <w:tcPr>
            <w:tcW w:type="dxa" w:w="2492"/>
          </w:tcPr>
          <w:p>
            <w:pPr>
              <w:pStyle w:val="null3"/>
            </w:pPr>
            <w:r>
              <w:rPr>
                <w:rFonts w:ascii="仿宋_GB2312" w:hAnsi="仿宋_GB2312" w:cs="仿宋_GB2312" w:eastAsia="仿宋_GB2312"/>
              </w:rPr>
              <w:t>1、实施方案合理、可行、对区域情况把握准确、针对性强的得（7.0-10.0]； 2、实施方案合理性和可行性一般、对区域情况把握一般得（4.0-7.0]； 3、实施方案空洞、对区域情况把握不足，无针对性得[0.0-4.0]。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1、质量保障措施科学、合理、可行的得（7.0-10.0]； 2、基本合理可行的得（4.0-7.0]； 3、合理性和可行性较差的得[0.0-4.0]；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1、保障措施科学、合理、可行的得（7.0-10.0]； 2、基本合理可行的得（4.0-7.0]； 3、合理性和可行性较差的得[0.0-4.0]；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项目实施协调管理措 施</w:t>
            </w:r>
          </w:p>
        </w:tc>
        <w:tc>
          <w:tcPr>
            <w:tcW w:type="dxa" w:w="2492"/>
          </w:tcPr>
          <w:p>
            <w:pPr>
              <w:pStyle w:val="null3"/>
            </w:pPr>
            <w:r>
              <w:rPr>
                <w:rFonts w:ascii="仿宋_GB2312" w:hAnsi="仿宋_GB2312" w:cs="仿宋_GB2312" w:eastAsia="仿宋_GB2312"/>
              </w:rPr>
              <w:t>1、管理措施科学、合理、可行的得（6.0-8.0]； 2、基本合理可行的得（3.0-6.0]； 3、合理性和可行性较差的得[0.0-3.0]；</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后期服务配合计划</w:t>
            </w:r>
          </w:p>
        </w:tc>
        <w:tc>
          <w:tcPr>
            <w:tcW w:type="dxa" w:w="2492"/>
          </w:tcPr>
          <w:p>
            <w:pPr>
              <w:pStyle w:val="null3"/>
            </w:pPr>
            <w:r>
              <w:rPr>
                <w:rFonts w:ascii="仿宋_GB2312" w:hAnsi="仿宋_GB2312" w:cs="仿宋_GB2312" w:eastAsia="仿宋_GB2312"/>
              </w:rPr>
              <w:t>1、后期服务配合计划完备、可行性强得（6.0-8.0]； 2、后期服务配合计划具有一定的可行性得（3.0-6.0]； 3、后期服务配合计划内容空洞，可行性较差得[0.0-3.0]；</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2022 年 1 月 1 日以后承担过市政工程水土保持验收业绩每项得4 分，满分8分。 注：以中标通知书或合同签订日期并加盖公章为准。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服务方案说明</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最终分项内容报价表</w:t>
            </w:r>
          </w:p>
          <w:p>
            <w:pPr>
              <w:pStyle w:val="null3"/>
            </w:pPr>
            <w:r>
              <w:rPr>
                <w:rFonts w:ascii="仿宋_GB2312" w:hAnsi="仿宋_GB2312" w:cs="仿宋_GB2312" w:eastAsia="仿宋_GB2312"/>
              </w:rPr>
              <w:t>首轮分项内容报价表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详见附件：首轮分项内容报价表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详见附件：服务方案说明</w:t>
      </w:r>
    </w:p>
    <w:p>
      <w:pPr>
        <w:pStyle w:val="null3"/>
        <w:ind w:firstLine="960"/>
      </w:pPr>
      <w:r>
        <w:rPr>
          <w:rFonts w:ascii="仿宋_GB2312" w:hAnsi="仿宋_GB2312" w:cs="仿宋_GB2312" w:eastAsia="仿宋_GB2312"/>
        </w:rPr>
        <w:t>详见附件：最终分项内容报价表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详见附件：水土保持设施验收技术服务合同书.docx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