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D2D28">
      <w:pPr>
        <w:pStyle w:val="3"/>
        <w:spacing w:line="258" w:lineRule="auto"/>
        <w:rPr>
          <w:highlight w:val="none"/>
        </w:rPr>
      </w:pPr>
      <w:bookmarkStart w:id="0" w:name="_GoBack"/>
    </w:p>
    <w:p w14:paraId="76C73784">
      <w:pPr>
        <w:pStyle w:val="3"/>
        <w:spacing w:line="422" w:lineRule="auto"/>
        <w:rPr>
          <w:color w:val="auto"/>
          <w:highlight w:val="none"/>
        </w:rPr>
      </w:pPr>
    </w:p>
    <w:p w14:paraId="182E4655">
      <w:pPr>
        <w:pStyle w:val="3"/>
        <w:spacing w:line="253" w:lineRule="auto"/>
        <w:ind w:left="0" w:leftChars="0" w:right="0" w:rightChars="0" w:firstLine="0" w:firstLineChars="0"/>
        <w:jc w:val="center"/>
        <w:rPr>
          <w:rFonts w:hint="eastAsia" w:eastAsia="宋体"/>
          <w:color w:val="auto"/>
          <w:highlight w:val="none"/>
          <w:lang w:eastAsia="zh-CN"/>
        </w:rPr>
      </w:pPr>
      <w:r>
        <w:rPr>
          <w:rFonts w:hint="eastAsia" w:ascii="宋体" w:hAnsi="宋体" w:cs="宋体"/>
          <w:b/>
          <w:bCs/>
          <w:color w:val="auto"/>
          <w:spacing w:val="3"/>
          <w:sz w:val="35"/>
          <w:szCs w:val="35"/>
          <w:highlight w:val="none"/>
          <w:lang w:eastAsia="zh-CN"/>
        </w:rPr>
        <w:t>西南二环立交交通优化工程、二环路雁塔路立交交通优化工程水土保持验收服务项目</w:t>
      </w:r>
    </w:p>
    <w:p w14:paraId="23AAEB8F">
      <w:pPr>
        <w:pStyle w:val="3"/>
        <w:spacing w:line="253" w:lineRule="auto"/>
        <w:rPr>
          <w:highlight w:val="none"/>
        </w:rPr>
      </w:pPr>
    </w:p>
    <w:p w14:paraId="75E12516">
      <w:pPr>
        <w:spacing w:before="0" w:after="0"/>
        <w:ind w:left="0" w:right="0"/>
        <w:jc w:val="center"/>
        <w:rPr>
          <w:rFonts w:hint="eastAsia" w:ascii="黑体" w:hAnsi="黑体" w:eastAsia="黑体" w:cs="黑体"/>
          <w:b/>
          <w:sz w:val="52"/>
          <w:szCs w:val="52"/>
          <w:highlight w:val="none"/>
        </w:rPr>
      </w:pPr>
      <w:r>
        <w:rPr>
          <w:rFonts w:hint="eastAsia" w:ascii="黑体" w:hAnsi="黑体" w:eastAsia="黑体" w:cs="黑体"/>
          <w:b/>
          <w:sz w:val="52"/>
          <w:szCs w:val="52"/>
          <w:highlight w:val="none"/>
        </w:rPr>
        <w:t>水土保持</w:t>
      </w:r>
      <w:r>
        <w:rPr>
          <w:rFonts w:hint="eastAsia" w:ascii="黑体" w:hAnsi="黑体" w:eastAsia="黑体" w:cs="黑体"/>
          <w:b/>
          <w:sz w:val="52"/>
          <w:szCs w:val="52"/>
          <w:highlight w:val="none"/>
          <w:lang w:val="en-US" w:eastAsia="zh-CN"/>
        </w:rPr>
        <w:t>设施验收</w:t>
      </w:r>
      <w:r>
        <w:rPr>
          <w:rFonts w:hint="eastAsia" w:ascii="黑体" w:hAnsi="黑体" w:eastAsia="黑体" w:cs="黑体"/>
          <w:b/>
          <w:sz w:val="52"/>
          <w:szCs w:val="52"/>
          <w:highlight w:val="none"/>
        </w:rPr>
        <w:t>技术服务合同书</w:t>
      </w:r>
    </w:p>
    <w:p w14:paraId="7909DAD1">
      <w:pPr>
        <w:jc w:val="center"/>
        <w:rPr>
          <w:rFonts w:hint="eastAsia" w:ascii="仿宋" w:hAnsi="仿宋" w:eastAsia="仿宋" w:cs="仿宋"/>
          <w:b/>
          <w:sz w:val="44"/>
          <w:szCs w:val="44"/>
          <w:highlight w:val="none"/>
        </w:rPr>
      </w:pPr>
    </w:p>
    <w:p w14:paraId="24E6D539">
      <w:pPr>
        <w:rPr>
          <w:rFonts w:hint="eastAsia" w:ascii="仿宋" w:hAnsi="仿宋" w:eastAsia="仿宋" w:cs="仿宋"/>
          <w:b/>
          <w:sz w:val="44"/>
          <w:szCs w:val="44"/>
          <w:highlight w:val="none"/>
        </w:rPr>
      </w:pPr>
    </w:p>
    <w:p w14:paraId="54250AB3">
      <w:pPr>
        <w:jc w:val="left"/>
        <w:rPr>
          <w:rFonts w:hint="eastAsia" w:ascii="仿宋" w:hAnsi="仿宋" w:eastAsia="仿宋" w:cs="仿宋"/>
          <w:sz w:val="28"/>
          <w:szCs w:val="28"/>
          <w:highlight w:val="none"/>
        </w:rPr>
      </w:pPr>
    </w:p>
    <w:p w14:paraId="3BDBAF84">
      <w:pPr>
        <w:ind w:firstLine="1120" w:firstLineChars="400"/>
        <w:jc w:val="left"/>
        <w:rPr>
          <w:rFonts w:hint="eastAsia" w:ascii="仿宋" w:hAnsi="仿宋" w:eastAsia="仿宋" w:cs="仿宋"/>
          <w:sz w:val="28"/>
          <w:szCs w:val="28"/>
          <w:highlight w:val="none"/>
        </w:rPr>
      </w:pPr>
    </w:p>
    <w:p w14:paraId="2C10C921">
      <w:pPr>
        <w:ind w:firstLine="1120" w:firstLineChars="40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18BE6E73">
      <w:pPr>
        <w:ind w:firstLine="320" w:firstLineChars="100"/>
        <w:rPr>
          <w:rFonts w:hint="eastAsia" w:ascii="仿宋_GB2312" w:hAnsi="宋体" w:eastAsia="仿宋_GB2312"/>
          <w:sz w:val="32"/>
          <w:szCs w:val="32"/>
          <w:highlight w:val="none"/>
        </w:rPr>
      </w:pPr>
      <w:r>
        <w:rPr>
          <w:rFonts w:hint="eastAsia" w:ascii="仿宋_GB2312" w:hAnsi="宋体" w:eastAsia="仿宋_GB2312"/>
          <w:sz w:val="32"/>
          <w:szCs w:val="32"/>
          <w:highlight w:val="none"/>
        </w:rPr>
        <w:t>委托方（甲方）：</w:t>
      </w:r>
      <w:r>
        <w:rPr>
          <w:rFonts w:hint="eastAsia" w:ascii="仿宋_GB2312" w:hAnsi="宋体" w:eastAsia="仿宋_GB2312"/>
          <w:sz w:val="32"/>
          <w:szCs w:val="32"/>
          <w:highlight w:val="none"/>
          <w:u w:val="single"/>
        </w:rPr>
        <w:t xml:space="preserve">                                    </w:t>
      </w:r>
    </w:p>
    <w:p w14:paraId="457AECAE">
      <w:pPr>
        <w:ind w:firstLine="320" w:firstLineChars="100"/>
        <w:rPr>
          <w:rFonts w:hint="eastAsia" w:ascii="仿宋_GB2312" w:hAnsi="宋体" w:eastAsia="仿宋_GB2312"/>
          <w:sz w:val="32"/>
          <w:szCs w:val="32"/>
          <w:highlight w:val="none"/>
        </w:rPr>
      </w:pPr>
    </w:p>
    <w:p w14:paraId="367FE121">
      <w:pPr>
        <w:ind w:firstLine="320" w:firstLineChars="100"/>
        <w:rPr>
          <w:rFonts w:hint="eastAsia" w:ascii="仿宋_GB2312" w:hAnsi="宋体" w:eastAsia="仿宋_GB2312"/>
          <w:sz w:val="32"/>
          <w:szCs w:val="32"/>
          <w:highlight w:val="none"/>
        </w:rPr>
      </w:pPr>
      <w:r>
        <w:rPr>
          <w:rFonts w:hint="eastAsia" w:ascii="仿宋_GB2312" w:hAnsi="宋体" w:eastAsia="仿宋_GB2312"/>
          <w:sz w:val="32"/>
          <w:szCs w:val="32"/>
          <w:highlight w:val="none"/>
        </w:rPr>
        <w:t>受托方（乙方）：</w:t>
      </w:r>
      <w:r>
        <w:rPr>
          <w:rFonts w:hint="eastAsia" w:ascii="仿宋_GB2312" w:hAnsi="宋体" w:eastAsia="仿宋_GB2312"/>
          <w:sz w:val="32"/>
          <w:szCs w:val="32"/>
          <w:highlight w:val="none"/>
          <w:u w:val="single"/>
        </w:rPr>
        <w:t xml:space="preserve">  </w:t>
      </w:r>
      <w:r>
        <w:rPr>
          <w:rFonts w:hint="eastAsia" w:ascii="仿宋_GB2312" w:hAnsi="宋体" w:eastAsia="仿宋_GB2312"/>
          <w:sz w:val="32"/>
          <w:szCs w:val="32"/>
          <w:highlight w:val="none"/>
          <w:u w:val="single"/>
          <w:lang w:val="en-US" w:eastAsia="zh-CN"/>
        </w:rPr>
        <w:t xml:space="preserve">                                </w:t>
      </w:r>
      <w:r>
        <w:rPr>
          <w:rFonts w:hint="eastAsia" w:ascii="仿宋_GB2312" w:hAnsi="宋体" w:eastAsia="仿宋_GB2312"/>
          <w:sz w:val="32"/>
          <w:szCs w:val="32"/>
          <w:highlight w:val="none"/>
          <w:u w:val="single"/>
        </w:rPr>
        <w:t xml:space="preserve">   </w:t>
      </w:r>
    </w:p>
    <w:p w14:paraId="72286D20">
      <w:pPr>
        <w:ind w:firstLine="320" w:firstLineChars="100"/>
        <w:rPr>
          <w:rFonts w:hint="eastAsia" w:ascii="仿宋_GB2312" w:hAnsi="宋体" w:eastAsia="仿宋_GB2312"/>
          <w:sz w:val="32"/>
          <w:szCs w:val="32"/>
          <w:highlight w:val="none"/>
        </w:rPr>
      </w:pPr>
    </w:p>
    <w:p w14:paraId="232FBDF1">
      <w:pPr>
        <w:ind w:firstLine="320" w:firstLineChars="100"/>
        <w:rPr>
          <w:rFonts w:hint="eastAsia" w:ascii="仿宋_GB2312" w:hAnsi="宋体" w:eastAsia="仿宋_GB2312"/>
          <w:sz w:val="32"/>
          <w:szCs w:val="32"/>
          <w:highlight w:val="none"/>
        </w:rPr>
      </w:pPr>
    </w:p>
    <w:p w14:paraId="3384F835">
      <w:pPr>
        <w:ind w:firstLine="1600" w:firstLineChars="500"/>
        <w:rPr>
          <w:rFonts w:hint="eastAsia" w:ascii="仿宋_GB2312" w:hAnsi="宋体" w:eastAsia="仿宋_GB2312"/>
          <w:sz w:val="32"/>
          <w:szCs w:val="32"/>
          <w:highlight w:val="none"/>
          <w:u w:val="single"/>
        </w:rPr>
      </w:pPr>
      <w:r>
        <w:rPr>
          <w:rFonts w:hint="eastAsia" w:ascii="仿宋_GB2312" w:hAnsi="宋体" w:eastAsia="仿宋_GB2312"/>
          <w:sz w:val="32"/>
          <w:szCs w:val="32"/>
          <w:highlight w:val="none"/>
        </w:rPr>
        <w:t>签订地点：</w:t>
      </w:r>
      <w:r>
        <w:rPr>
          <w:rFonts w:hint="eastAsia" w:ascii="仿宋_GB2312" w:hAnsi="宋体" w:eastAsia="仿宋_GB2312"/>
          <w:sz w:val="32"/>
          <w:szCs w:val="32"/>
          <w:highlight w:val="none"/>
          <w:u w:val="single"/>
        </w:rPr>
        <w:t xml:space="preserve">           </w:t>
      </w:r>
      <w:r>
        <w:rPr>
          <w:rFonts w:hint="eastAsia" w:ascii="仿宋_GB2312" w:hAnsi="宋体" w:eastAsia="仿宋_GB2312"/>
          <w:sz w:val="32"/>
          <w:szCs w:val="32"/>
          <w:highlight w:val="none"/>
          <w:u w:val="single"/>
          <w:lang w:val="en-US" w:eastAsia="zh-CN"/>
        </w:rPr>
        <w:t xml:space="preserve">     </w:t>
      </w:r>
      <w:r>
        <w:rPr>
          <w:rFonts w:hint="eastAsia" w:ascii="仿宋_GB2312" w:hAnsi="宋体" w:eastAsia="仿宋_GB2312"/>
          <w:sz w:val="32"/>
          <w:szCs w:val="32"/>
          <w:highlight w:val="none"/>
          <w:u w:val="single"/>
        </w:rPr>
        <w:t xml:space="preserve">   </w:t>
      </w:r>
    </w:p>
    <w:p w14:paraId="0A7EF324">
      <w:pPr>
        <w:ind w:firstLine="1600" w:firstLineChars="500"/>
        <w:rPr>
          <w:rFonts w:hint="eastAsia" w:ascii="仿宋_GB2312" w:hAnsi="宋体" w:eastAsia="仿宋_GB2312"/>
          <w:sz w:val="32"/>
          <w:szCs w:val="32"/>
          <w:highlight w:val="none"/>
          <w:u w:val="single"/>
        </w:rPr>
      </w:pPr>
      <w:r>
        <w:rPr>
          <w:rFonts w:hint="eastAsia" w:ascii="仿宋_GB2312" w:hAnsi="宋体" w:eastAsia="仿宋_GB2312"/>
          <w:sz w:val="32"/>
          <w:szCs w:val="32"/>
          <w:highlight w:val="none"/>
        </w:rPr>
        <w:t>签订日期：</w:t>
      </w:r>
      <w:r>
        <w:rPr>
          <w:rFonts w:hint="eastAsia" w:ascii="仿宋_GB2312" w:hAnsi="宋体" w:eastAsia="仿宋_GB2312"/>
          <w:sz w:val="32"/>
          <w:szCs w:val="32"/>
          <w:highlight w:val="none"/>
          <w:u w:val="single"/>
        </w:rPr>
        <w:t xml:space="preserve"> </w:t>
      </w:r>
      <w:r>
        <w:rPr>
          <w:rFonts w:hint="eastAsia" w:ascii="仿宋_GB2312" w:hAnsi="宋体" w:eastAsia="仿宋_GB2312"/>
          <w:sz w:val="32"/>
          <w:szCs w:val="32"/>
          <w:highlight w:val="none"/>
          <w:u w:val="single"/>
          <w:lang w:val="en-US" w:eastAsia="zh-CN"/>
        </w:rPr>
        <w:t xml:space="preserve">    </w:t>
      </w:r>
      <w:r>
        <w:rPr>
          <w:rFonts w:hint="eastAsia" w:ascii="仿宋_GB2312" w:hAnsi="宋体" w:eastAsia="仿宋_GB2312"/>
          <w:sz w:val="32"/>
          <w:szCs w:val="32"/>
          <w:highlight w:val="none"/>
          <w:u w:val="single"/>
        </w:rPr>
        <w:t>年</w:t>
      </w:r>
      <w:r>
        <w:rPr>
          <w:rFonts w:hint="eastAsia" w:ascii="仿宋_GB2312" w:hAnsi="宋体" w:eastAsia="仿宋_GB2312"/>
          <w:sz w:val="32"/>
          <w:szCs w:val="32"/>
          <w:highlight w:val="none"/>
          <w:u w:val="single"/>
          <w:lang w:val="en-US" w:eastAsia="zh-CN"/>
        </w:rPr>
        <w:t xml:space="preserve">  </w:t>
      </w:r>
      <w:r>
        <w:rPr>
          <w:rFonts w:hint="eastAsia" w:ascii="仿宋_GB2312" w:hAnsi="宋体" w:eastAsia="仿宋_GB2312"/>
          <w:sz w:val="32"/>
          <w:szCs w:val="32"/>
          <w:highlight w:val="none"/>
          <w:u w:val="single"/>
        </w:rPr>
        <w:t>月</w:t>
      </w:r>
      <w:r>
        <w:rPr>
          <w:rFonts w:hint="eastAsia" w:ascii="仿宋_GB2312" w:hAnsi="宋体" w:eastAsia="仿宋_GB2312"/>
          <w:sz w:val="32"/>
          <w:szCs w:val="32"/>
          <w:highlight w:val="none"/>
          <w:u w:val="single"/>
          <w:lang w:val="en-US" w:eastAsia="zh-CN"/>
        </w:rPr>
        <w:t xml:space="preserve">  </w:t>
      </w:r>
      <w:r>
        <w:rPr>
          <w:rFonts w:hint="eastAsia" w:ascii="仿宋_GB2312" w:hAnsi="宋体" w:eastAsia="仿宋_GB2312"/>
          <w:sz w:val="32"/>
          <w:szCs w:val="32"/>
          <w:highlight w:val="none"/>
          <w:u w:val="single"/>
        </w:rPr>
        <w:t xml:space="preserve">日    </w:t>
      </w:r>
    </w:p>
    <w:p w14:paraId="087F321A">
      <w:pPr>
        <w:rPr>
          <w:rFonts w:hint="eastAsia"/>
          <w:highlight w:val="none"/>
        </w:rPr>
      </w:pPr>
      <w:r>
        <w:rPr>
          <w:rFonts w:hint="eastAsia"/>
          <w:highlight w:val="none"/>
        </w:rPr>
        <w:br w:type="page"/>
      </w:r>
    </w:p>
    <w:p w14:paraId="56E2E8E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0"/>
        <w:rPr>
          <w:rFonts w:hint="eastAsia" w:ascii="仿宋_GB2312" w:hAnsi="宋体" w:eastAsia="仿宋_GB2312"/>
          <w:b/>
          <w:bCs/>
          <w:color w:val="auto"/>
          <w:sz w:val="56"/>
          <w:szCs w:val="56"/>
          <w:highlight w:val="none"/>
        </w:rPr>
      </w:pPr>
      <w:r>
        <w:rPr>
          <w:rFonts w:hint="eastAsia" w:ascii="仿宋_GB2312" w:hAnsi="宋体" w:eastAsia="仿宋_GB2312"/>
          <w:b/>
          <w:bCs/>
          <w:color w:val="auto"/>
          <w:sz w:val="32"/>
          <w:szCs w:val="32"/>
          <w:highlight w:val="none"/>
        </w:rPr>
        <w:t>水土保持</w:t>
      </w:r>
      <w:r>
        <w:rPr>
          <w:rFonts w:hint="eastAsia" w:ascii="仿宋_GB2312" w:hAnsi="宋体" w:eastAsia="仿宋_GB2312"/>
          <w:b/>
          <w:bCs/>
          <w:color w:val="auto"/>
          <w:sz w:val="32"/>
          <w:szCs w:val="32"/>
          <w:highlight w:val="none"/>
          <w:lang w:val="en-US" w:eastAsia="zh-CN"/>
        </w:rPr>
        <w:t>设施验收</w:t>
      </w:r>
      <w:r>
        <w:rPr>
          <w:rFonts w:hint="eastAsia" w:ascii="仿宋_GB2312" w:hAnsi="宋体" w:eastAsia="仿宋_GB2312"/>
          <w:b/>
          <w:bCs/>
          <w:color w:val="auto"/>
          <w:sz w:val="32"/>
          <w:szCs w:val="32"/>
          <w:highlight w:val="none"/>
        </w:rPr>
        <w:t>技术服务合同书</w:t>
      </w:r>
    </w:p>
    <w:p w14:paraId="4837122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sz w:val="24"/>
          <w:highlight w:val="none"/>
          <w:u w:val="single"/>
        </w:rPr>
      </w:pPr>
      <w:r>
        <w:rPr>
          <w:rFonts w:hint="eastAsia" w:ascii="仿宋_GB2312" w:hAnsi="宋体" w:eastAsia="仿宋_GB2312"/>
          <w:sz w:val="24"/>
          <w:highlight w:val="none"/>
        </w:rPr>
        <w:t>委托方（甲方）：</w:t>
      </w:r>
      <w:r>
        <w:rPr>
          <w:rFonts w:hint="eastAsia" w:ascii="仿宋_GB2312" w:hAnsi="宋体" w:eastAsia="仿宋_GB2312"/>
          <w:sz w:val="24"/>
          <w:highlight w:val="none"/>
          <w:u w:val="single"/>
        </w:rPr>
        <w:t xml:space="preserve">                                    </w:t>
      </w:r>
    </w:p>
    <w:p w14:paraId="072652F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sz w:val="24"/>
          <w:highlight w:val="none"/>
          <w:u w:val="single"/>
        </w:rPr>
      </w:pPr>
      <w:r>
        <w:rPr>
          <w:rFonts w:hint="eastAsia" w:ascii="仿宋_GB2312" w:hAnsi="宋体" w:eastAsia="仿宋_GB2312"/>
          <w:sz w:val="24"/>
          <w:highlight w:val="none"/>
        </w:rPr>
        <w:t>受托方（乙方）：</w:t>
      </w:r>
      <w:r>
        <w:rPr>
          <w:rFonts w:hint="eastAsia" w:ascii="仿宋_GB2312" w:hAnsi="宋体" w:eastAsia="仿宋_GB2312"/>
          <w:sz w:val="24"/>
          <w:highlight w:val="none"/>
          <w:u w:val="single"/>
        </w:rPr>
        <w:t xml:space="preserve">  </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u w:val="single"/>
        </w:rPr>
        <w:t xml:space="preserve"> </w:t>
      </w:r>
    </w:p>
    <w:p w14:paraId="2AD5A52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rPr>
      </w:pPr>
      <w:r>
        <w:rPr>
          <w:rFonts w:hint="eastAsia" w:ascii="仿宋_GB2312" w:hAnsi="宋体" w:eastAsia="仿宋_GB2312" w:cs="Times New Roman"/>
          <w:b w:val="0"/>
          <w:bCs/>
          <w:sz w:val="24"/>
          <w:szCs w:val="24"/>
          <w:highlight w:val="none"/>
        </w:rPr>
        <w:t>依据《中华人民共和国</w:t>
      </w:r>
      <w:r>
        <w:rPr>
          <w:rFonts w:hint="eastAsia" w:ascii="仿宋_GB2312" w:hAnsi="宋体" w:eastAsia="仿宋_GB2312" w:cs="Times New Roman"/>
          <w:b w:val="0"/>
          <w:bCs/>
          <w:sz w:val="24"/>
          <w:szCs w:val="24"/>
          <w:highlight w:val="none"/>
          <w:lang w:val="en-US" w:eastAsia="zh-CN"/>
        </w:rPr>
        <w:t>民</w:t>
      </w:r>
      <w:r>
        <w:rPr>
          <w:rFonts w:hint="eastAsia" w:ascii="仿宋_GB2312" w:hAnsi="宋体" w:eastAsia="仿宋_GB2312" w:cs="Times New Roman"/>
          <w:b w:val="0"/>
          <w:bCs/>
          <w:sz w:val="24"/>
          <w:szCs w:val="24"/>
          <w:highlight w:val="none"/>
        </w:rPr>
        <w:t>法</w:t>
      </w:r>
      <w:r>
        <w:rPr>
          <w:rFonts w:hint="eastAsia" w:ascii="仿宋_GB2312" w:hAnsi="宋体" w:eastAsia="仿宋_GB2312" w:cs="Times New Roman"/>
          <w:b w:val="0"/>
          <w:bCs/>
          <w:sz w:val="24"/>
          <w:szCs w:val="24"/>
          <w:highlight w:val="none"/>
          <w:lang w:val="en-US" w:eastAsia="zh-CN"/>
        </w:rPr>
        <w:t>典民</w:t>
      </w:r>
      <w:r>
        <w:rPr>
          <w:rFonts w:hint="eastAsia" w:ascii="仿宋_GB2312" w:hAnsi="宋体" w:eastAsia="仿宋_GB2312" w:cs="Times New Roman"/>
          <w:b w:val="0"/>
          <w:bCs/>
          <w:sz w:val="24"/>
          <w:szCs w:val="24"/>
          <w:highlight w:val="none"/>
        </w:rPr>
        <w:t>法</w:t>
      </w:r>
      <w:r>
        <w:rPr>
          <w:rFonts w:hint="eastAsia" w:ascii="仿宋_GB2312" w:hAnsi="宋体" w:eastAsia="仿宋_GB2312" w:cs="Times New Roman"/>
          <w:b w:val="0"/>
          <w:bCs/>
          <w:sz w:val="24"/>
          <w:szCs w:val="24"/>
          <w:highlight w:val="none"/>
          <w:lang w:val="en-US" w:eastAsia="zh-CN"/>
        </w:rPr>
        <w:t>典</w:t>
      </w:r>
      <w:r>
        <w:rPr>
          <w:rFonts w:hint="eastAsia" w:ascii="仿宋_GB2312" w:hAnsi="宋体" w:eastAsia="仿宋_GB2312" w:cs="Times New Roman"/>
          <w:b w:val="0"/>
          <w:bCs/>
          <w:sz w:val="24"/>
          <w:szCs w:val="24"/>
          <w:highlight w:val="none"/>
        </w:rPr>
        <w:t>》《中华人民共和国水土保持法》《陕西省水土保持条例》</w:t>
      </w:r>
      <w:r>
        <w:rPr>
          <w:rFonts w:hint="eastAsia" w:ascii="仿宋_GB2312" w:hAnsi="宋体" w:eastAsia="仿宋_GB2312" w:cs="Times New Roman"/>
          <w:b w:val="0"/>
          <w:bCs/>
          <w:sz w:val="24"/>
          <w:szCs w:val="24"/>
          <w:highlight w:val="none"/>
          <w:lang w:val="en-US" w:eastAsia="zh-CN"/>
        </w:rPr>
        <w:t>等法律法规</w:t>
      </w:r>
      <w:r>
        <w:rPr>
          <w:rFonts w:hint="eastAsia" w:ascii="仿宋_GB2312" w:hAnsi="宋体" w:eastAsia="仿宋_GB2312" w:cs="Times New Roman"/>
          <w:b w:val="0"/>
          <w:bCs/>
          <w:sz w:val="24"/>
          <w:szCs w:val="24"/>
          <w:highlight w:val="none"/>
        </w:rPr>
        <w:t>规定，甲方因工作需要委托乙方进行</w:t>
      </w:r>
      <w:r>
        <w:rPr>
          <w:rFonts w:hint="eastAsia" w:ascii="仿宋_GB2312" w:hAnsi="宋体" w:eastAsia="仿宋_GB2312" w:cs="Times New Roman"/>
          <w:b w:val="0"/>
          <w:bCs/>
          <w:sz w:val="24"/>
          <w:szCs w:val="24"/>
          <w:highlight w:val="none"/>
          <w:u w:val="single"/>
          <w:lang w:val="en-US" w:eastAsia="zh-CN"/>
        </w:rPr>
        <w:t xml:space="preserve"> 西南二环立交交通优化工程、二环路雁塔路立交交通优化工程水土保持验收服务项目 </w:t>
      </w:r>
      <w:r>
        <w:rPr>
          <w:rFonts w:hint="eastAsia" w:ascii="仿宋_GB2312" w:hAnsi="宋体" w:eastAsia="仿宋_GB2312" w:cs="Times New Roman"/>
          <w:b w:val="0"/>
          <w:bCs/>
          <w:sz w:val="24"/>
          <w:szCs w:val="24"/>
          <w:highlight w:val="none"/>
        </w:rPr>
        <w:t>水土保持</w:t>
      </w:r>
      <w:r>
        <w:rPr>
          <w:rFonts w:hint="eastAsia" w:ascii="仿宋_GB2312" w:hAnsi="宋体" w:eastAsia="仿宋_GB2312" w:cs="Times New Roman"/>
          <w:b w:val="0"/>
          <w:bCs/>
          <w:sz w:val="24"/>
          <w:szCs w:val="24"/>
          <w:highlight w:val="none"/>
          <w:lang w:val="en-US" w:eastAsia="zh-CN"/>
        </w:rPr>
        <w:t>设施验收技术服务</w:t>
      </w:r>
      <w:r>
        <w:rPr>
          <w:rFonts w:hint="eastAsia" w:ascii="仿宋_GB2312" w:hAnsi="宋体" w:eastAsia="仿宋_GB2312" w:cs="Times New Roman"/>
          <w:b w:val="0"/>
          <w:bCs/>
          <w:sz w:val="24"/>
          <w:szCs w:val="24"/>
          <w:highlight w:val="none"/>
        </w:rPr>
        <w:t>工作，经甲乙双方协商一致，签订本合同。</w:t>
      </w:r>
    </w:p>
    <w:p w14:paraId="3E42026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cs="Times New Roman"/>
          <w:b/>
          <w:bCs w:val="0"/>
          <w:sz w:val="24"/>
          <w:szCs w:val="24"/>
          <w:highlight w:val="none"/>
        </w:rPr>
      </w:pPr>
      <w:r>
        <w:rPr>
          <w:rFonts w:hint="eastAsia" w:ascii="仿宋_GB2312" w:hAnsi="宋体" w:eastAsia="仿宋_GB2312" w:cs="Times New Roman"/>
          <w:b/>
          <w:bCs w:val="0"/>
          <w:sz w:val="24"/>
          <w:szCs w:val="24"/>
          <w:highlight w:val="none"/>
        </w:rPr>
        <w:t>一、服务内容、方式：</w:t>
      </w:r>
    </w:p>
    <w:p w14:paraId="6536421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lang w:val="en-US" w:eastAsia="zh-CN"/>
        </w:rPr>
      </w:pPr>
      <w:r>
        <w:rPr>
          <w:rFonts w:hint="eastAsia" w:ascii="仿宋_GB2312" w:hAnsi="宋体" w:eastAsia="仿宋_GB2312" w:cs="Times New Roman"/>
          <w:b w:val="0"/>
          <w:bCs/>
          <w:sz w:val="24"/>
          <w:szCs w:val="24"/>
          <w:highlight w:val="none"/>
        </w:rPr>
        <w:t>乙方</w:t>
      </w:r>
      <w:r>
        <w:rPr>
          <w:rFonts w:hint="eastAsia" w:ascii="仿宋_GB2312" w:hAnsi="宋体" w:eastAsia="仿宋_GB2312" w:cs="Times New Roman"/>
          <w:b w:val="0"/>
          <w:bCs/>
          <w:sz w:val="24"/>
          <w:szCs w:val="24"/>
          <w:highlight w:val="none"/>
          <w:lang w:val="en-US" w:eastAsia="zh-CN"/>
        </w:rPr>
        <w:t>根据</w:t>
      </w:r>
      <w:r>
        <w:rPr>
          <w:rFonts w:hint="eastAsia" w:ascii="仿宋_GB2312" w:hAnsi="宋体" w:eastAsia="仿宋_GB2312" w:cs="Times New Roman"/>
          <w:b w:val="0"/>
          <w:bCs/>
          <w:sz w:val="24"/>
          <w:szCs w:val="24"/>
          <w:highlight w:val="none"/>
        </w:rPr>
        <w:t>《中华人民共和国水土保持法》</w:t>
      </w:r>
      <w:r>
        <w:rPr>
          <w:rFonts w:hint="eastAsia" w:ascii="仿宋_GB2312" w:hAnsi="宋体" w:eastAsia="仿宋_GB2312" w:cs="Times New Roman"/>
          <w:b w:val="0"/>
          <w:bCs/>
          <w:sz w:val="24"/>
          <w:szCs w:val="24"/>
          <w:highlight w:val="none"/>
          <w:lang w:val="en-US" w:eastAsia="zh-CN"/>
        </w:rPr>
        <w:t>《陕西省水土保持条例》等要求，依法依规开展</w:t>
      </w:r>
      <w:r>
        <w:rPr>
          <w:rFonts w:hint="eastAsia" w:ascii="仿宋_GB2312" w:hAnsi="宋体" w:eastAsia="仿宋_GB2312" w:cs="Times New Roman"/>
          <w:b w:val="0"/>
          <w:bCs/>
          <w:sz w:val="24"/>
          <w:szCs w:val="24"/>
          <w:highlight w:val="none"/>
          <w:u w:val="single"/>
          <w:lang w:val="en-US" w:eastAsia="zh-CN"/>
        </w:rPr>
        <w:t xml:space="preserve"> 西南二环立交交通优化工程、二环路雁塔路立交交通优化工程水土保持验收服务项目 </w:t>
      </w:r>
      <w:r>
        <w:rPr>
          <w:rFonts w:hint="eastAsia" w:ascii="仿宋_GB2312" w:hAnsi="宋体" w:eastAsia="仿宋_GB2312" w:cs="Times New Roman"/>
          <w:b w:val="0"/>
          <w:bCs/>
          <w:sz w:val="24"/>
          <w:szCs w:val="24"/>
          <w:highlight w:val="none"/>
          <w:lang w:val="en-US" w:eastAsia="zh-CN"/>
        </w:rPr>
        <w:t>水土保持设施验收技术服务，以水土保持法律法规为依据，遵循水土保持技术规范标准，确保项目顺利验收。</w:t>
      </w:r>
    </w:p>
    <w:p w14:paraId="0654F2D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default" w:ascii="仿宋_GB2312" w:hAnsi="宋体" w:eastAsia="仿宋_GB2312" w:cs="Times New Roman"/>
          <w:b w:val="0"/>
          <w:bCs/>
          <w:sz w:val="24"/>
          <w:szCs w:val="24"/>
          <w:highlight w:val="none"/>
          <w:lang w:val="en-US" w:eastAsia="zh-CN"/>
        </w:rPr>
      </w:pPr>
      <w:r>
        <w:rPr>
          <w:rFonts w:hint="eastAsia" w:ascii="仿宋_GB2312" w:hAnsi="宋体" w:eastAsia="仿宋_GB2312" w:cs="Times New Roman"/>
          <w:b w:val="0"/>
          <w:bCs/>
          <w:sz w:val="24"/>
          <w:szCs w:val="24"/>
          <w:highlight w:val="none"/>
          <w:lang w:val="en-US" w:eastAsia="zh-CN"/>
        </w:rPr>
        <w:t>具体内容如下：</w:t>
      </w:r>
    </w:p>
    <w:p w14:paraId="5E4102F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lang w:val="en-US" w:eastAsia="zh-CN"/>
        </w:rPr>
      </w:pPr>
      <w:r>
        <w:rPr>
          <w:rFonts w:hint="eastAsia" w:ascii="仿宋_GB2312" w:hAnsi="宋体" w:eastAsia="仿宋_GB2312" w:cs="Times New Roman"/>
          <w:b w:val="0"/>
          <w:bCs/>
          <w:sz w:val="24"/>
          <w:szCs w:val="24"/>
          <w:highlight w:val="none"/>
          <w:lang w:val="en-US" w:eastAsia="zh-CN"/>
        </w:rPr>
        <w:t>1、收集前期主体工程与水保有关的基础资料、水保监理、监测等过程资料、现场查勘、测量调查、室内资料整编；</w:t>
      </w:r>
    </w:p>
    <w:p w14:paraId="4E1603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rPr>
      </w:pPr>
      <w:r>
        <w:rPr>
          <w:rFonts w:hint="eastAsia" w:ascii="仿宋_GB2312" w:hAnsi="宋体" w:eastAsia="仿宋_GB2312" w:cs="Times New Roman"/>
          <w:b w:val="0"/>
          <w:bCs/>
          <w:sz w:val="24"/>
          <w:szCs w:val="24"/>
          <w:highlight w:val="none"/>
          <w:lang w:val="en-US" w:eastAsia="zh-CN"/>
        </w:rPr>
        <w:t>2、具备验收条件后</w:t>
      </w:r>
      <w:r>
        <w:rPr>
          <w:rFonts w:hint="eastAsia" w:ascii="仿宋_GB2312" w:hAnsi="宋体" w:eastAsia="仿宋_GB2312" w:cs="Times New Roman"/>
          <w:b w:val="0"/>
          <w:bCs/>
          <w:sz w:val="24"/>
          <w:szCs w:val="24"/>
          <w:highlight w:val="none"/>
        </w:rPr>
        <w:t>编制</w:t>
      </w:r>
      <w:r>
        <w:rPr>
          <w:rFonts w:hint="eastAsia" w:ascii="仿宋_GB2312" w:hAnsi="宋体" w:eastAsia="仿宋_GB2312" w:cs="Times New Roman"/>
          <w:b w:val="0"/>
          <w:bCs/>
          <w:sz w:val="24"/>
          <w:szCs w:val="24"/>
          <w:highlight w:val="none"/>
          <w:lang w:val="en-US" w:eastAsia="zh-CN"/>
        </w:rPr>
        <w:t>符合法律法规、技术要求</w:t>
      </w:r>
      <w:r>
        <w:rPr>
          <w:rFonts w:hint="eastAsia" w:ascii="仿宋_GB2312" w:hAnsi="宋体" w:eastAsia="仿宋_GB2312" w:cs="Times New Roman"/>
          <w:b w:val="0"/>
          <w:bCs/>
          <w:sz w:val="24"/>
          <w:szCs w:val="24"/>
          <w:highlight w:val="none"/>
        </w:rPr>
        <w:t>的水土保持</w:t>
      </w:r>
      <w:r>
        <w:rPr>
          <w:rFonts w:hint="eastAsia" w:ascii="仿宋_GB2312" w:hAnsi="宋体" w:eastAsia="仿宋_GB2312" w:cs="Times New Roman"/>
          <w:b w:val="0"/>
          <w:bCs/>
          <w:sz w:val="24"/>
          <w:szCs w:val="24"/>
          <w:highlight w:val="none"/>
          <w:lang w:val="en-US" w:eastAsia="zh-CN"/>
        </w:rPr>
        <w:t>设施验收</w:t>
      </w:r>
      <w:r>
        <w:rPr>
          <w:rFonts w:hint="eastAsia" w:ascii="仿宋_GB2312" w:hAnsi="宋体" w:eastAsia="仿宋_GB2312" w:cs="Times New Roman"/>
          <w:b w:val="0"/>
          <w:bCs/>
          <w:sz w:val="24"/>
          <w:szCs w:val="24"/>
          <w:highlight w:val="none"/>
        </w:rPr>
        <w:t>报告书；</w:t>
      </w:r>
    </w:p>
    <w:p w14:paraId="2D68F4A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lang w:eastAsia="zh-CN"/>
        </w:rPr>
      </w:pPr>
      <w:r>
        <w:rPr>
          <w:rFonts w:hint="eastAsia" w:ascii="仿宋_GB2312" w:hAnsi="宋体" w:eastAsia="仿宋_GB2312" w:cs="Times New Roman"/>
          <w:b w:val="0"/>
          <w:bCs/>
          <w:sz w:val="24"/>
          <w:szCs w:val="24"/>
          <w:highlight w:val="none"/>
        </w:rPr>
        <w:t>3、</w:t>
      </w:r>
      <w:r>
        <w:rPr>
          <w:rFonts w:hint="eastAsia" w:ascii="仿宋_GB2312" w:hAnsi="宋体" w:eastAsia="仿宋_GB2312" w:cs="Times New Roman"/>
          <w:b w:val="0"/>
          <w:bCs/>
          <w:sz w:val="24"/>
          <w:szCs w:val="24"/>
          <w:highlight w:val="none"/>
          <w:lang w:val="en-US" w:eastAsia="zh-CN"/>
        </w:rPr>
        <w:t>协助</w:t>
      </w:r>
      <w:r>
        <w:rPr>
          <w:rFonts w:hint="eastAsia" w:ascii="仿宋_GB2312" w:hAnsi="宋体" w:eastAsia="仿宋_GB2312" w:cs="Times New Roman"/>
          <w:b w:val="0"/>
          <w:bCs/>
          <w:sz w:val="24"/>
          <w:szCs w:val="24"/>
          <w:highlight w:val="none"/>
          <w:lang w:val="en-US" w:eastAsia="zh-CN"/>
        </w:rPr>
        <w:t>委托方</w:t>
      </w:r>
      <w:r>
        <w:rPr>
          <w:rFonts w:hint="eastAsia" w:ascii="仿宋_GB2312" w:hAnsi="宋体" w:eastAsia="仿宋_GB2312" w:cs="Times New Roman"/>
          <w:b w:val="0"/>
          <w:bCs/>
          <w:sz w:val="24"/>
          <w:szCs w:val="24"/>
          <w:highlight w:val="none"/>
          <w:lang w:val="en-US" w:eastAsia="zh-CN"/>
        </w:rPr>
        <w:t>组织验收会议，完成验收资料的报备工作</w:t>
      </w:r>
      <w:r>
        <w:rPr>
          <w:rFonts w:hint="eastAsia" w:ascii="仿宋_GB2312" w:hAnsi="宋体" w:eastAsia="仿宋_GB2312" w:cs="Times New Roman"/>
          <w:b w:val="0"/>
          <w:bCs/>
          <w:sz w:val="24"/>
          <w:szCs w:val="24"/>
          <w:highlight w:val="none"/>
        </w:rPr>
        <w:t>。</w:t>
      </w:r>
    </w:p>
    <w:p w14:paraId="57E23908">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cs="Times New Roman"/>
          <w:b/>
          <w:bCs w:val="0"/>
          <w:sz w:val="24"/>
          <w:szCs w:val="24"/>
          <w:highlight w:val="none"/>
        </w:rPr>
      </w:pPr>
      <w:r>
        <w:rPr>
          <w:rFonts w:hint="eastAsia" w:ascii="仿宋_GB2312" w:hAnsi="宋体" w:eastAsia="仿宋_GB2312" w:cs="Times New Roman"/>
          <w:b/>
          <w:bCs w:val="0"/>
          <w:sz w:val="24"/>
          <w:szCs w:val="24"/>
          <w:highlight w:val="none"/>
        </w:rPr>
        <w:t>二、工作期限和履行方式：</w:t>
      </w:r>
    </w:p>
    <w:p w14:paraId="5A97C39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default" w:ascii="仿宋_GB2312" w:hAnsi="宋体" w:eastAsia="仿宋_GB2312" w:cs="Times New Roman"/>
          <w:b w:val="0"/>
          <w:bCs/>
          <w:sz w:val="24"/>
          <w:szCs w:val="24"/>
          <w:highlight w:val="none"/>
          <w:lang w:val="en-US" w:eastAsia="zh-CN"/>
        </w:rPr>
      </w:pPr>
      <w:r>
        <w:rPr>
          <w:rFonts w:hint="eastAsia" w:ascii="仿宋_GB2312" w:hAnsi="宋体" w:eastAsia="仿宋_GB2312" w:cs="Times New Roman"/>
          <w:b w:val="0"/>
          <w:bCs/>
          <w:sz w:val="24"/>
          <w:szCs w:val="24"/>
          <w:highlight w:val="none"/>
          <w:lang w:eastAsia="zh-CN"/>
        </w:rPr>
        <w:t>1、</w:t>
      </w:r>
      <w:r>
        <w:rPr>
          <w:rFonts w:hint="eastAsia" w:ascii="仿宋_GB2312" w:hAnsi="宋体" w:eastAsia="仿宋_GB2312" w:cs="Times New Roman"/>
          <w:b w:val="0"/>
          <w:bCs/>
          <w:sz w:val="24"/>
          <w:szCs w:val="24"/>
          <w:highlight w:val="none"/>
          <w:lang w:val="en-US" w:eastAsia="zh-CN"/>
        </w:rPr>
        <w:t>服务期限：合同签订之日起至</w:t>
      </w:r>
      <w:r>
        <w:rPr>
          <w:rFonts w:hint="eastAsia" w:ascii="仿宋_GB2312" w:hAnsi="宋体" w:eastAsia="仿宋_GB2312" w:cs="Times New Roman"/>
          <w:b w:val="0"/>
          <w:bCs/>
          <w:sz w:val="24"/>
          <w:szCs w:val="24"/>
          <w:highlight w:val="none"/>
          <w:lang w:val="en-US" w:eastAsia="zh-CN"/>
        </w:rPr>
        <w:t>各工程</w:t>
      </w:r>
      <w:r>
        <w:rPr>
          <w:rFonts w:hint="eastAsia" w:ascii="仿宋_GB2312" w:hAnsi="宋体" w:eastAsia="仿宋_GB2312" w:cs="Times New Roman"/>
          <w:b w:val="0"/>
          <w:bCs/>
          <w:sz w:val="24"/>
          <w:szCs w:val="24"/>
          <w:highlight w:val="none"/>
          <w:lang w:val="en-US" w:eastAsia="zh-CN"/>
        </w:rPr>
        <w:t>具备水土保持设施验收条件</w:t>
      </w:r>
      <w:r>
        <w:rPr>
          <w:rFonts w:hint="eastAsia" w:ascii="仿宋_GB2312" w:hAnsi="宋体" w:eastAsia="仿宋_GB2312" w:cs="Times New Roman"/>
          <w:b w:val="0"/>
          <w:bCs/>
          <w:sz w:val="24"/>
          <w:szCs w:val="24"/>
          <w:highlight w:val="none"/>
          <w:lang w:val="en-US" w:eastAsia="zh-CN"/>
        </w:rPr>
        <w:t>后</w:t>
      </w:r>
      <w:r>
        <w:rPr>
          <w:rFonts w:hint="eastAsia" w:ascii="仿宋_GB2312" w:hAnsi="宋体" w:eastAsia="仿宋_GB2312" w:cs="Times New Roman"/>
          <w:b w:val="0"/>
          <w:bCs/>
          <w:sz w:val="24"/>
          <w:szCs w:val="24"/>
          <w:highlight w:val="none"/>
          <w:u w:val="single"/>
          <w:lang w:val="en-US" w:eastAsia="zh-CN"/>
        </w:rPr>
        <w:t xml:space="preserve">    </w:t>
      </w:r>
      <w:r>
        <w:rPr>
          <w:rFonts w:hint="eastAsia" w:ascii="仿宋_GB2312" w:hAnsi="宋体" w:eastAsia="仿宋_GB2312" w:cs="Times New Roman"/>
          <w:b w:val="0"/>
          <w:bCs/>
          <w:sz w:val="24"/>
          <w:szCs w:val="24"/>
          <w:highlight w:val="none"/>
          <w:lang w:val="en-US" w:eastAsia="zh-CN"/>
        </w:rPr>
        <w:t>工作日内完成水土保持设施验收向监管部门报备，并取得报备回执。</w:t>
      </w:r>
    </w:p>
    <w:p w14:paraId="646A9D6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lang w:val="en-US" w:eastAsia="zh-CN"/>
        </w:rPr>
      </w:pPr>
      <w:r>
        <w:rPr>
          <w:rFonts w:hint="eastAsia" w:ascii="仿宋_GB2312" w:hAnsi="宋体" w:eastAsia="仿宋_GB2312" w:cs="Times New Roman"/>
          <w:b w:val="0"/>
          <w:bCs/>
          <w:sz w:val="24"/>
          <w:szCs w:val="24"/>
          <w:highlight w:val="none"/>
          <w:lang w:val="en-US" w:eastAsia="zh-CN"/>
        </w:rPr>
        <w:t>具体时间节点：</w:t>
      </w:r>
      <w:r>
        <w:rPr>
          <w:rFonts w:hint="eastAsia" w:ascii="仿宋_GB2312" w:hAnsi="宋体" w:eastAsia="仿宋_GB2312" w:cs="Times New Roman"/>
          <w:b w:val="0"/>
          <w:bCs/>
          <w:sz w:val="24"/>
          <w:szCs w:val="24"/>
          <w:highlight w:val="none"/>
          <w:lang w:eastAsia="zh-CN"/>
        </w:rPr>
        <w:t>本合同生效</w:t>
      </w:r>
      <w:r>
        <w:rPr>
          <w:rFonts w:hint="eastAsia" w:ascii="仿宋_GB2312" w:hAnsi="宋体" w:eastAsia="仿宋_GB2312" w:cs="Times New Roman"/>
          <w:b w:val="0"/>
          <w:bCs/>
          <w:sz w:val="24"/>
          <w:szCs w:val="24"/>
          <w:highlight w:val="none"/>
          <w:lang w:val="en-US" w:eastAsia="zh-CN"/>
        </w:rPr>
        <w:t>后，主体完工具备水土保持设施验收条件后</w:t>
      </w:r>
    </w:p>
    <w:p w14:paraId="6B1E595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lang w:eastAsia="zh-CN"/>
        </w:rPr>
      </w:pPr>
      <w:r>
        <w:rPr>
          <w:rFonts w:hint="eastAsia" w:ascii="仿宋_GB2312" w:hAnsi="宋体" w:eastAsia="仿宋_GB2312" w:cs="Times New Roman"/>
          <w:b w:val="0"/>
          <w:bCs/>
          <w:sz w:val="24"/>
          <w:szCs w:val="24"/>
          <w:highlight w:val="none"/>
          <w:u w:val="single"/>
          <w:lang w:val="en-US" w:eastAsia="zh-CN"/>
        </w:rPr>
        <w:t xml:space="preserve">    </w:t>
      </w:r>
      <w:r>
        <w:rPr>
          <w:rFonts w:hint="eastAsia" w:ascii="仿宋_GB2312" w:hAnsi="宋体" w:eastAsia="仿宋_GB2312" w:cs="Times New Roman"/>
          <w:b w:val="0"/>
          <w:bCs/>
          <w:sz w:val="24"/>
          <w:szCs w:val="24"/>
          <w:highlight w:val="none"/>
          <w:lang w:val="en-US" w:eastAsia="zh-CN"/>
        </w:rPr>
        <w:t>工作日内编制完成水土保持设施验收报告，并协助建设单位组织验收会议，在通过验收</w:t>
      </w:r>
      <w:r>
        <w:rPr>
          <w:rFonts w:hint="eastAsia" w:ascii="仿宋_GB2312" w:hAnsi="宋体" w:eastAsia="仿宋_GB2312" w:cs="Times New Roman"/>
          <w:b w:val="0"/>
          <w:bCs/>
          <w:sz w:val="24"/>
          <w:szCs w:val="24"/>
          <w:highlight w:val="none"/>
          <w:lang w:val="en-US" w:eastAsia="zh-CN"/>
        </w:rPr>
        <w:t>会议后5个工作日内，</w:t>
      </w:r>
      <w:r>
        <w:rPr>
          <w:rFonts w:hint="default" w:ascii="仿宋_GB2312" w:hAnsi="宋体" w:eastAsia="仿宋_GB2312" w:cs="Times New Roman"/>
          <w:b w:val="0"/>
          <w:bCs/>
          <w:sz w:val="24"/>
          <w:szCs w:val="24"/>
          <w:highlight w:val="none"/>
          <w:lang w:val="en-US" w:eastAsia="zh-CN"/>
        </w:rPr>
        <w:t>协助</w:t>
      </w:r>
      <w:r>
        <w:rPr>
          <w:rFonts w:hint="eastAsia" w:ascii="仿宋_GB2312" w:hAnsi="宋体" w:eastAsia="仿宋_GB2312" w:cs="Times New Roman"/>
          <w:b w:val="0"/>
          <w:bCs/>
          <w:sz w:val="24"/>
          <w:szCs w:val="24"/>
          <w:highlight w:val="none"/>
          <w:lang w:val="en-US" w:eastAsia="zh-CN"/>
        </w:rPr>
        <w:t>甲方</w:t>
      </w:r>
      <w:r>
        <w:rPr>
          <w:rFonts w:hint="default" w:ascii="仿宋_GB2312" w:hAnsi="宋体" w:eastAsia="仿宋_GB2312" w:cs="Times New Roman"/>
          <w:b w:val="0"/>
          <w:bCs/>
          <w:sz w:val="24"/>
          <w:szCs w:val="24"/>
          <w:highlight w:val="none"/>
          <w:lang w:val="en-US" w:eastAsia="zh-CN"/>
        </w:rPr>
        <w:t>对</w:t>
      </w:r>
      <w:r>
        <w:rPr>
          <w:rFonts w:hint="eastAsia" w:ascii="仿宋_GB2312" w:hAnsi="宋体" w:eastAsia="仿宋_GB2312" w:cs="Times New Roman"/>
          <w:b w:val="0"/>
          <w:bCs/>
          <w:sz w:val="24"/>
          <w:szCs w:val="24"/>
          <w:highlight w:val="none"/>
          <w:lang w:val="en-US" w:eastAsia="zh-CN"/>
        </w:rPr>
        <w:t>水土保持设施竣工验收</w:t>
      </w:r>
      <w:r>
        <w:rPr>
          <w:rFonts w:hint="default" w:ascii="仿宋_GB2312" w:hAnsi="宋体" w:eastAsia="仿宋_GB2312" w:cs="Times New Roman"/>
          <w:b w:val="0"/>
          <w:bCs/>
          <w:sz w:val="24"/>
          <w:szCs w:val="24"/>
          <w:highlight w:val="none"/>
          <w:lang w:val="en-US" w:eastAsia="zh-CN"/>
        </w:rPr>
        <w:t>相关资料予以公示</w:t>
      </w:r>
      <w:r>
        <w:rPr>
          <w:rFonts w:hint="eastAsia" w:ascii="仿宋_GB2312" w:hAnsi="宋体" w:eastAsia="仿宋_GB2312" w:cs="Times New Roman"/>
          <w:b w:val="0"/>
          <w:bCs/>
          <w:sz w:val="24"/>
          <w:szCs w:val="24"/>
          <w:highlight w:val="none"/>
          <w:lang w:val="en-US" w:eastAsia="zh-CN"/>
        </w:rPr>
        <w:t>，公示期满后上报主管部门完成备案，并取得备案回执</w:t>
      </w:r>
      <w:r>
        <w:rPr>
          <w:rFonts w:hint="default" w:ascii="仿宋_GB2312" w:hAnsi="宋体" w:eastAsia="仿宋_GB2312" w:cs="Times New Roman"/>
          <w:b w:val="0"/>
          <w:bCs/>
          <w:sz w:val="24"/>
          <w:szCs w:val="24"/>
          <w:highlight w:val="none"/>
          <w:lang w:val="en-US" w:eastAsia="zh-CN"/>
        </w:rPr>
        <w:t>。</w:t>
      </w:r>
    </w:p>
    <w:p w14:paraId="622F583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rPr>
      </w:pPr>
      <w:r>
        <w:rPr>
          <w:rFonts w:hint="eastAsia" w:ascii="仿宋_GB2312" w:hAnsi="宋体" w:eastAsia="仿宋_GB2312" w:cs="Times New Roman"/>
          <w:b w:val="0"/>
          <w:bCs/>
          <w:sz w:val="24"/>
          <w:szCs w:val="24"/>
          <w:highlight w:val="none"/>
        </w:rPr>
        <w:t>2、履行方式：乙方按现行规范和技术标准或多方商定的技术要求进行工作，正确反映客观实际，确保工作质量。</w:t>
      </w:r>
      <w:r>
        <w:rPr>
          <w:rFonts w:hint="eastAsia" w:ascii="仿宋_GB2312" w:hAnsi="宋体" w:eastAsia="仿宋_GB2312" w:cs="Times New Roman"/>
          <w:b w:val="0"/>
          <w:bCs/>
          <w:sz w:val="24"/>
          <w:szCs w:val="24"/>
          <w:highlight w:val="none"/>
        </w:rPr>
        <w:t>根据甲方需要提交经</w:t>
      </w:r>
      <w:r>
        <w:rPr>
          <w:rFonts w:hint="eastAsia" w:ascii="仿宋_GB2312" w:hAnsi="宋体" w:eastAsia="仿宋_GB2312" w:cs="Times New Roman"/>
          <w:b w:val="0"/>
          <w:bCs/>
          <w:sz w:val="24"/>
          <w:szCs w:val="24"/>
          <w:highlight w:val="none"/>
          <w:lang w:val="en-US" w:eastAsia="zh-CN"/>
        </w:rPr>
        <w:t>对应</w:t>
      </w:r>
      <w:r>
        <w:rPr>
          <w:rFonts w:hint="eastAsia" w:ascii="仿宋_GB2312" w:hAnsi="宋体" w:eastAsia="仿宋_GB2312" w:cs="Times New Roman"/>
          <w:b w:val="0"/>
          <w:bCs/>
          <w:sz w:val="24"/>
          <w:szCs w:val="24"/>
          <w:highlight w:val="none"/>
        </w:rPr>
        <w:t>主管部门</w:t>
      </w:r>
      <w:r>
        <w:rPr>
          <w:rFonts w:hint="eastAsia" w:ascii="仿宋_GB2312" w:hAnsi="宋体" w:eastAsia="仿宋_GB2312" w:cs="Times New Roman"/>
          <w:b w:val="0"/>
          <w:bCs/>
          <w:sz w:val="24"/>
          <w:szCs w:val="24"/>
          <w:highlight w:val="none"/>
          <w:lang w:val="en-US" w:eastAsia="zh-CN"/>
        </w:rPr>
        <w:t>备案后</w:t>
      </w:r>
      <w:r>
        <w:rPr>
          <w:rFonts w:hint="eastAsia" w:ascii="仿宋_GB2312" w:hAnsi="宋体" w:eastAsia="仿宋_GB2312" w:cs="Times New Roman"/>
          <w:b w:val="0"/>
          <w:bCs/>
          <w:sz w:val="24"/>
          <w:szCs w:val="24"/>
          <w:highlight w:val="none"/>
        </w:rPr>
        <w:t>的正式报告（技术报告）</w:t>
      </w:r>
      <w:r>
        <w:rPr>
          <w:rFonts w:hint="eastAsia" w:ascii="仿宋_GB2312" w:hAnsi="宋体" w:eastAsia="仿宋_GB2312" w:cs="Times New Roman"/>
          <w:b w:val="0"/>
          <w:bCs/>
          <w:sz w:val="24"/>
          <w:szCs w:val="24"/>
          <w:highlight w:val="none"/>
          <w:lang w:val="en-US" w:eastAsia="zh-CN"/>
        </w:rPr>
        <w:t>2</w:t>
      </w:r>
      <w:r>
        <w:rPr>
          <w:rFonts w:hint="eastAsia" w:ascii="仿宋_GB2312" w:hAnsi="宋体" w:eastAsia="仿宋_GB2312" w:cs="Times New Roman"/>
          <w:b w:val="0"/>
          <w:bCs/>
          <w:sz w:val="24"/>
          <w:szCs w:val="24"/>
          <w:highlight w:val="none"/>
        </w:rPr>
        <w:t>份</w:t>
      </w:r>
      <w:r>
        <w:rPr>
          <w:rFonts w:hint="eastAsia" w:ascii="仿宋_GB2312" w:hAnsi="宋体" w:eastAsia="仿宋_GB2312" w:cs="Times New Roman"/>
          <w:b w:val="0"/>
          <w:bCs/>
          <w:sz w:val="24"/>
          <w:szCs w:val="24"/>
          <w:highlight w:val="none"/>
        </w:rPr>
        <w:t>，同时提交正式报告电子版</w:t>
      </w:r>
      <w:r>
        <w:rPr>
          <w:rFonts w:hint="eastAsia" w:ascii="仿宋_GB2312" w:hAnsi="宋体" w:eastAsia="仿宋_GB2312" w:cs="Times New Roman"/>
          <w:b w:val="0"/>
          <w:bCs/>
          <w:sz w:val="24"/>
          <w:szCs w:val="24"/>
          <w:highlight w:val="none"/>
          <w:lang w:val="en-US" w:eastAsia="zh-CN"/>
        </w:rPr>
        <w:t>1份</w:t>
      </w:r>
      <w:r>
        <w:rPr>
          <w:rFonts w:hint="eastAsia" w:ascii="仿宋_GB2312" w:hAnsi="宋体" w:eastAsia="仿宋_GB2312" w:cs="Times New Roman"/>
          <w:b w:val="0"/>
          <w:bCs/>
          <w:sz w:val="24"/>
          <w:szCs w:val="24"/>
          <w:highlight w:val="none"/>
        </w:rPr>
        <w:t>。</w:t>
      </w:r>
    </w:p>
    <w:p w14:paraId="78718C1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0"/>
        <w:rPr>
          <w:rFonts w:hint="eastAsia" w:ascii="仿宋_GB2312" w:hAnsi="宋体" w:eastAsia="仿宋_GB2312" w:cs="Times New Roman"/>
          <w:b w:val="0"/>
          <w:bCs/>
          <w:sz w:val="24"/>
          <w:szCs w:val="24"/>
          <w:highlight w:val="none"/>
        </w:rPr>
      </w:pPr>
      <w:r>
        <w:rPr>
          <w:rFonts w:hint="eastAsia" w:ascii="仿宋_GB2312" w:hAnsi="宋体" w:eastAsia="仿宋_GB2312" w:cs="Times New Roman"/>
          <w:b w:val="0"/>
          <w:bCs/>
          <w:sz w:val="24"/>
          <w:szCs w:val="24"/>
          <w:highlight w:val="none"/>
        </w:rPr>
        <w:t>甲乙双方同意，乙方野外工作因受不可抗拒的客观条件（仅限于地震、火灾等自然灾害）影响，使其工作被迫延迟或中止，则上述约定的工期应顺延。但乙方应当及时通知甲方不可抗拒因素的存在，并应尽最大努力使不可抗力对履行本合同造成的任何延误减至最小。</w:t>
      </w:r>
    </w:p>
    <w:p w14:paraId="4FC8EED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cs="Times New Roman"/>
          <w:b/>
          <w:bCs w:val="0"/>
          <w:sz w:val="24"/>
          <w:szCs w:val="24"/>
          <w:highlight w:val="none"/>
        </w:rPr>
      </w:pPr>
      <w:r>
        <w:rPr>
          <w:rFonts w:hint="eastAsia" w:ascii="仿宋_GB2312" w:hAnsi="宋体" w:eastAsia="仿宋_GB2312" w:cs="Times New Roman"/>
          <w:b/>
          <w:bCs w:val="0"/>
          <w:sz w:val="24"/>
          <w:szCs w:val="24"/>
          <w:highlight w:val="none"/>
        </w:rPr>
        <w:t>三、</w:t>
      </w:r>
      <w:r>
        <w:rPr>
          <w:rFonts w:hint="eastAsia" w:ascii="仿宋_GB2312" w:hAnsi="宋体" w:eastAsia="仿宋_GB2312" w:cs="Times New Roman"/>
          <w:b/>
          <w:bCs w:val="0"/>
          <w:sz w:val="24"/>
          <w:szCs w:val="24"/>
          <w:highlight w:val="none"/>
          <w:lang w:val="en-US" w:eastAsia="zh-CN"/>
        </w:rPr>
        <w:t>双方</w:t>
      </w:r>
      <w:r>
        <w:rPr>
          <w:rFonts w:hint="eastAsia" w:ascii="仿宋_GB2312" w:hAnsi="宋体" w:eastAsia="仿宋_GB2312" w:cs="Times New Roman"/>
          <w:b/>
          <w:bCs w:val="0"/>
          <w:sz w:val="24"/>
          <w:szCs w:val="24"/>
          <w:highlight w:val="none"/>
        </w:rPr>
        <w:t>责任：</w:t>
      </w:r>
    </w:p>
    <w:p w14:paraId="0681FBA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仿宋_GB2312" w:hAnsi="宋体" w:eastAsia="仿宋_GB2312"/>
          <w:b/>
          <w:bCs/>
          <w:sz w:val="24"/>
          <w:highlight w:val="none"/>
          <w:lang w:val="en-US" w:eastAsia="zh-CN"/>
        </w:rPr>
      </w:pPr>
      <w:r>
        <w:rPr>
          <w:rFonts w:hint="eastAsia" w:ascii="仿宋_GB2312" w:hAnsi="宋体" w:eastAsia="仿宋_GB2312"/>
          <w:b/>
          <w:bCs/>
          <w:sz w:val="24"/>
          <w:highlight w:val="none"/>
          <w:lang w:val="en-US" w:eastAsia="zh-CN"/>
        </w:rPr>
        <w:t>甲方责任：</w:t>
      </w:r>
    </w:p>
    <w:p w14:paraId="27EB20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rPr>
      </w:pPr>
      <w:r>
        <w:rPr>
          <w:rFonts w:hint="eastAsia" w:ascii="仿宋_GB2312" w:hAnsi="宋体" w:eastAsia="仿宋_GB2312" w:cs="Times New Roman"/>
          <w:sz w:val="24"/>
          <w:highlight w:val="none"/>
        </w:rPr>
        <w:t>合同生效后，甲方应向乙方提供下列资料和工作条件：</w:t>
      </w:r>
    </w:p>
    <w:p w14:paraId="4650948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1、提供项目水土保持方案报批稿纸质版及电子版各一份，提供通过当地水土保持行政主管部门审批的水土保持方案报告书的批复文件及水土保持补偿费缴费文件证明；</w:t>
      </w:r>
    </w:p>
    <w:p w14:paraId="4E2E7D1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2提供主体工程初步设计文件、水土保持初步设计等前期设计资料及批复文件；</w:t>
      </w:r>
    </w:p>
    <w:p w14:paraId="3B1CF92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3、提供工作区域的地形图、建（构）筑物平面图、主体工程监理资料、主体工程竣工验收资料与水土保持设施竣工验收有关的相关数据、资料；</w:t>
      </w:r>
    </w:p>
    <w:p w14:paraId="481DBD8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4、提供水土保持监理、监测过程资料及总结报告；</w:t>
      </w:r>
    </w:p>
    <w:p w14:paraId="758FA7C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5、负责协调联系各参建单位，配合完成验收工作；</w:t>
      </w:r>
    </w:p>
    <w:p w14:paraId="1E40EFF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6、按照法律法规、水行政主管部门监督检查意见、批复的水保方案完成措施施工及其他应尽责任；</w:t>
      </w:r>
    </w:p>
    <w:p w14:paraId="650006B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仿宋_GB2312" w:hAnsi="宋体" w:eastAsia="仿宋_GB2312"/>
          <w:sz w:val="24"/>
          <w:highlight w:val="none"/>
          <w:lang w:val="en-US" w:eastAsia="zh-CN"/>
        </w:rPr>
      </w:pPr>
      <w:r>
        <w:rPr>
          <w:rFonts w:hint="eastAsia" w:ascii="仿宋_GB2312" w:hAnsi="宋体" w:eastAsia="仿宋_GB2312" w:cs="Times New Roman"/>
          <w:sz w:val="24"/>
          <w:highlight w:val="none"/>
          <w:lang w:val="en-US" w:eastAsia="zh-CN"/>
        </w:rPr>
        <w:t>7、乙方现场工作期间，甲方应保证道路、场地工作条件，派专门技术人员配合。</w:t>
      </w:r>
    </w:p>
    <w:p w14:paraId="5FD6A11F">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b/>
          <w:sz w:val="24"/>
          <w:highlight w:val="none"/>
          <w:lang w:eastAsia="zh-CN"/>
        </w:rPr>
      </w:pPr>
      <w:r>
        <w:rPr>
          <w:rFonts w:hint="eastAsia" w:ascii="仿宋_GB2312" w:hAnsi="宋体" w:eastAsia="仿宋_GB2312"/>
          <w:b/>
          <w:sz w:val="24"/>
          <w:highlight w:val="none"/>
        </w:rPr>
        <w:t>乙方责任</w:t>
      </w:r>
      <w:r>
        <w:rPr>
          <w:rFonts w:hint="eastAsia" w:ascii="仿宋_GB2312" w:hAnsi="宋体" w:eastAsia="仿宋_GB2312"/>
          <w:b/>
          <w:sz w:val="24"/>
          <w:highlight w:val="none"/>
          <w:lang w:eastAsia="zh-CN"/>
        </w:rPr>
        <w:t>：</w:t>
      </w:r>
    </w:p>
    <w:p w14:paraId="49B028E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rPr>
        <w:t>1、对甲方交给的技术资料妥善保管，工作完成后归还甲方；</w:t>
      </w:r>
    </w:p>
    <w:p w14:paraId="6542E94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lang w:val="en-US" w:eastAsia="zh-CN"/>
        </w:rPr>
        <w:t>2</w:t>
      </w:r>
      <w:r>
        <w:rPr>
          <w:rFonts w:hint="eastAsia" w:ascii="仿宋_GB2312" w:hAnsi="宋体" w:eastAsia="仿宋_GB2312"/>
          <w:sz w:val="24"/>
          <w:highlight w:val="none"/>
        </w:rPr>
        <w:t>、</w:t>
      </w:r>
      <w:r>
        <w:rPr>
          <w:rFonts w:hint="eastAsia" w:ascii="仿宋_GB2312" w:hAnsi="宋体" w:eastAsia="仿宋_GB2312"/>
          <w:sz w:val="24"/>
          <w:highlight w:val="none"/>
          <w:lang w:val="en-US" w:eastAsia="zh-CN"/>
        </w:rPr>
        <w:t>结合项目</w:t>
      </w:r>
      <w:r>
        <w:rPr>
          <w:rFonts w:hint="eastAsia" w:ascii="仿宋_GB2312" w:hAnsi="宋体" w:eastAsia="仿宋_GB2312" w:cs="Times New Roman"/>
          <w:sz w:val="24"/>
          <w:highlight w:val="none"/>
          <w:lang w:val="en-US" w:eastAsia="zh-CN"/>
        </w:rPr>
        <w:t>建设情况，</w:t>
      </w:r>
      <w:r>
        <w:rPr>
          <w:rFonts w:hint="eastAsia" w:ascii="仿宋_GB2312" w:hAnsi="宋体" w:eastAsia="仿宋_GB2312" w:cs="Times New Roman"/>
          <w:sz w:val="24"/>
          <w:highlight w:val="none"/>
        </w:rPr>
        <w:t>提出合理化</w:t>
      </w:r>
      <w:r>
        <w:rPr>
          <w:rFonts w:hint="eastAsia" w:ascii="仿宋_GB2312" w:hAnsi="宋体" w:eastAsia="仿宋_GB2312" w:cs="Times New Roman"/>
          <w:sz w:val="24"/>
          <w:highlight w:val="none"/>
          <w:lang w:val="en-US" w:eastAsia="zh-CN"/>
        </w:rPr>
        <w:t>验收</w:t>
      </w:r>
      <w:r>
        <w:rPr>
          <w:rFonts w:hint="eastAsia" w:ascii="仿宋_GB2312" w:hAnsi="宋体" w:eastAsia="仿宋_GB2312" w:cs="Times New Roman"/>
          <w:sz w:val="24"/>
          <w:highlight w:val="none"/>
        </w:rPr>
        <w:t>建议</w:t>
      </w:r>
      <w:r>
        <w:rPr>
          <w:rFonts w:hint="eastAsia" w:ascii="仿宋_GB2312" w:hAnsi="宋体" w:eastAsia="仿宋_GB2312" w:cs="Times New Roman"/>
          <w:sz w:val="24"/>
          <w:highlight w:val="none"/>
          <w:lang w:val="en-US" w:eastAsia="zh-CN"/>
        </w:rPr>
        <w:t>，指导甲方完成水</w:t>
      </w:r>
      <w:r>
        <w:rPr>
          <w:rFonts w:hint="eastAsia" w:ascii="仿宋_GB2312" w:hAnsi="宋体" w:eastAsia="仿宋_GB2312"/>
          <w:sz w:val="24"/>
          <w:highlight w:val="none"/>
          <w:lang w:val="en-US" w:eastAsia="zh-CN"/>
        </w:rPr>
        <w:t>土保持验收工作</w:t>
      </w:r>
      <w:r>
        <w:rPr>
          <w:rFonts w:hint="eastAsia" w:ascii="仿宋_GB2312" w:hAnsi="宋体" w:eastAsia="仿宋_GB2312"/>
          <w:sz w:val="24"/>
          <w:highlight w:val="none"/>
        </w:rPr>
        <w:t>；</w:t>
      </w:r>
    </w:p>
    <w:p w14:paraId="4F3128C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3</w:t>
      </w:r>
      <w:r>
        <w:rPr>
          <w:rFonts w:hint="eastAsia" w:ascii="仿宋_GB2312" w:hAnsi="宋体" w:eastAsia="仿宋_GB2312"/>
          <w:sz w:val="24"/>
          <w:highlight w:val="none"/>
        </w:rPr>
        <w:t>、</w:t>
      </w:r>
      <w:r>
        <w:rPr>
          <w:rFonts w:hint="eastAsia" w:ascii="仿宋_GB2312" w:hAnsi="宋体" w:eastAsia="仿宋_GB2312"/>
          <w:sz w:val="24"/>
          <w:highlight w:val="none"/>
          <w:lang w:val="en-US" w:eastAsia="zh-CN"/>
        </w:rPr>
        <w:t>与水保监理、监测单位沟通协调，督促水土保持验收工作进度；</w:t>
      </w:r>
    </w:p>
    <w:p w14:paraId="45D4C46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4、编制符合验收技术规范要求的水土保持设施验收报告；</w:t>
      </w:r>
    </w:p>
    <w:p w14:paraId="6990601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lang w:val="en-US" w:eastAsia="zh-CN"/>
        </w:rPr>
        <w:t>5、协助甲方组织验收会议，确保项目顺利通过验收</w:t>
      </w:r>
      <w:r>
        <w:rPr>
          <w:rFonts w:hint="eastAsia" w:ascii="仿宋_GB2312" w:hAnsi="宋体" w:eastAsia="仿宋_GB2312"/>
          <w:sz w:val="24"/>
          <w:highlight w:val="none"/>
        </w:rPr>
        <w:t>；</w:t>
      </w:r>
    </w:p>
    <w:p w14:paraId="2CE256B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lang w:val="en-US" w:eastAsia="zh-CN"/>
        </w:rPr>
      </w:pPr>
      <w:r>
        <w:rPr>
          <w:rFonts w:hint="eastAsia" w:ascii="仿宋_GB2312" w:hAnsi="宋体" w:eastAsia="仿宋_GB2312" w:cs="Times New Roman"/>
          <w:sz w:val="24"/>
          <w:highlight w:val="none"/>
          <w:lang w:val="en-US" w:eastAsia="zh-CN"/>
        </w:rPr>
        <w:t>6、协助甲方完成验收水土保持设施竣工验收</w:t>
      </w:r>
      <w:r>
        <w:rPr>
          <w:rFonts w:hint="default" w:ascii="仿宋_GB2312" w:hAnsi="宋体" w:eastAsia="仿宋_GB2312" w:cs="Times New Roman"/>
          <w:sz w:val="24"/>
          <w:highlight w:val="none"/>
          <w:lang w:val="en-US" w:eastAsia="zh-CN"/>
        </w:rPr>
        <w:t>相关资料公示</w:t>
      </w:r>
      <w:r>
        <w:rPr>
          <w:rFonts w:hint="eastAsia" w:ascii="仿宋_GB2312" w:hAnsi="宋体" w:eastAsia="仿宋_GB2312" w:cs="Times New Roman"/>
          <w:sz w:val="24"/>
          <w:highlight w:val="none"/>
          <w:lang w:val="en-US" w:eastAsia="zh-CN"/>
        </w:rPr>
        <w:t>工作；</w:t>
      </w:r>
    </w:p>
    <w:p w14:paraId="1DF1AC8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lang w:val="en-US" w:eastAsia="zh-CN"/>
        </w:rPr>
        <w:t>7</w:t>
      </w:r>
      <w:r>
        <w:rPr>
          <w:rFonts w:hint="eastAsia" w:ascii="仿宋_GB2312" w:hAnsi="宋体" w:eastAsia="仿宋_GB2312"/>
          <w:sz w:val="24"/>
          <w:highlight w:val="none"/>
        </w:rPr>
        <w:t>、</w:t>
      </w:r>
      <w:r>
        <w:rPr>
          <w:rFonts w:hint="eastAsia" w:ascii="仿宋_GB2312" w:hAnsi="宋体" w:eastAsia="仿宋_GB2312" w:cs="Times New Roman"/>
          <w:b w:val="0"/>
          <w:bCs/>
          <w:sz w:val="24"/>
          <w:szCs w:val="24"/>
          <w:highlight w:val="none"/>
          <w:lang w:val="en-US" w:eastAsia="zh-CN"/>
        </w:rPr>
        <w:t>公示期满后完成验收资料的备案，并取得备案回执。</w:t>
      </w:r>
    </w:p>
    <w:p w14:paraId="1A4B346F">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cs="Times New Roman"/>
          <w:b/>
          <w:bCs w:val="0"/>
          <w:sz w:val="24"/>
          <w:szCs w:val="24"/>
          <w:highlight w:val="none"/>
        </w:rPr>
      </w:pPr>
      <w:r>
        <w:rPr>
          <w:rFonts w:hint="eastAsia" w:ascii="仿宋_GB2312" w:hAnsi="宋体" w:eastAsia="仿宋_GB2312" w:cs="Times New Roman"/>
          <w:b/>
          <w:bCs w:val="0"/>
          <w:sz w:val="24"/>
          <w:szCs w:val="24"/>
          <w:highlight w:val="none"/>
          <w:lang w:val="en-US" w:eastAsia="zh-CN"/>
        </w:rPr>
        <w:t>四</w:t>
      </w:r>
      <w:r>
        <w:rPr>
          <w:rFonts w:hint="eastAsia" w:ascii="仿宋_GB2312" w:hAnsi="宋体" w:eastAsia="仿宋_GB2312" w:cs="Times New Roman"/>
          <w:b/>
          <w:bCs w:val="0"/>
          <w:sz w:val="24"/>
          <w:szCs w:val="24"/>
          <w:highlight w:val="none"/>
        </w:rPr>
        <w:t>、技术情报资料的保密：</w:t>
      </w:r>
    </w:p>
    <w:p w14:paraId="1E1C04B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rPr>
      </w:pPr>
      <w:r>
        <w:rPr>
          <w:rFonts w:hint="eastAsia" w:ascii="仿宋_GB2312" w:hAnsi="宋体" w:eastAsia="仿宋_GB2312" w:cs="Times New Roman"/>
          <w:sz w:val="24"/>
          <w:highlight w:val="none"/>
        </w:rPr>
        <w:t>乙方应对甲方提供的所有相关文件进行保密，不得向第三方泄露。</w:t>
      </w:r>
    </w:p>
    <w:p w14:paraId="62D8D47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sz w:val="24"/>
          <w:highlight w:val="none"/>
        </w:rPr>
      </w:pPr>
      <w:r>
        <w:rPr>
          <w:rFonts w:hint="eastAsia" w:ascii="仿宋_GB2312" w:hAnsi="宋体" w:eastAsia="仿宋_GB2312" w:cs="Times New Roman"/>
          <w:sz w:val="24"/>
          <w:highlight w:val="none"/>
        </w:rPr>
        <w:t>乙方接受甲方委托，在指定区域，按专业知识要求进行的具有独立应用价值的工作，其成果所有权归甲方所有。未经甲方许可，乙方不得将该工作技术成果资料泄露或转让给第三方，或许可第三方使用。</w:t>
      </w:r>
    </w:p>
    <w:p w14:paraId="3D3B4AF2">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_GB2312" w:hAnsi="宋体" w:eastAsia="仿宋_GB2312"/>
          <w:b/>
          <w:sz w:val="24"/>
          <w:highlight w:val="none"/>
        </w:rPr>
      </w:pPr>
      <w:r>
        <w:rPr>
          <w:rFonts w:hint="eastAsia" w:ascii="仿宋_GB2312" w:hAnsi="宋体" w:eastAsia="仿宋_GB2312"/>
          <w:b/>
          <w:sz w:val="24"/>
          <w:highlight w:val="none"/>
          <w:lang w:val="en-US" w:eastAsia="zh-CN"/>
        </w:rPr>
        <w:t>五</w:t>
      </w:r>
      <w:r>
        <w:rPr>
          <w:rFonts w:hint="eastAsia" w:ascii="仿宋_GB2312" w:hAnsi="宋体" w:eastAsia="仿宋_GB2312"/>
          <w:b/>
          <w:sz w:val="24"/>
          <w:highlight w:val="none"/>
        </w:rPr>
        <w:t>、验收、评价方法：</w:t>
      </w:r>
    </w:p>
    <w:p w14:paraId="6545020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cs="Times New Roman"/>
          <w:b w:val="0"/>
          <w:bCs/>
          <w:sz w:val="24"/>
          <w:szCs w:val="24"/>
          <w:highlight w:val="none"/>
          <w:lang w:val="en-US" w:eastAsia="zh-CN"/>
        </w:rPr>
      </w:pPr>
      <w:r>
        <w:rPr>
          <w:rFonts w:hint="eastAsia" w:ascii="仿宋_GB2312" w:hAnsi="宋体" w:eastAsia="仿宋_GB2312"/>
          <w:sz w:val="24"/>
          <w:highlight w:val="none"/>
        </w:rPr>
        <w:t>乙方向甲方</w:t>
      </w:r>
      <w:r>
        <w:rPr>
          <w:rFonts w:hint="eastAsia" w:ascii="仿宋_GB2312" w:hAnsi="宋体" w:eastAsia="仿宋_GB2312"/>
          <w:sz w:val="24"/>
          <w:highlight w:val="none"/>
          <w:lang w:val="en-US" w:eastAsia="zh-CN"/>
        </w:rPr>
        <w:t>在</w:t>
      </w:r>
      <w:r>
        <w:rPr>
          <w:rFonts w:hint="eastAsia" w:ascii="仿宋_GB2312" w:hAnsi="宋体" w:eastAsia="仿宋_GB2312" w:cs="Times New Roman"/>
          <w:b w:val="0"/>
          <w:bCs/>
          <w:sz w:val="24"/>
          <w:szCs w:val="24"/>
          <w:highlight w:val="none"/>
          <w:lang w:val="en-US" w:eastAsia="zh-CN"/>
        </w:rPr>
        <w:t>合同签订之日起至各工程具备水土保持设施验收条件后</w:t>
      </w:r>
    </w:p>
    <w:p w14:paraId="20376BF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cs="Times New Roman"/>
          <w:b w:val="0"/>
          <w:bCs/>
          <w:sz w:val="24"/>
          <w:szCs w:val="24"/>
          <w:highlight w:val="none"/>
          <w:u w:val="single"/>
          <w:lang w:val="en-US" w:eastAsia="zh-CN"/>
        </w:rPr>
        <w:t xml:space="preserve">    </w:t>
      </w:r>
      <w:r>
        <w:rPr>
          <w:rFonts w:hint="eastAsia" w:ascii="仿宋_GB2312" w:hAnsi="宋体" w:eastAsia="仿宋_GB2312" w:cs="Times New Roman"/>
          <w:b w:val="0"/>
          <w:bCs/>
          <w:sz w:val="24"/>
          <w:szCs w:val="24"/>
          <w:highlight w:val="none"/>
          <w:lang w:val="en-US" w:eastAsia="zh-CN"/>
        </w:rPr>
        <w:t>工作日内完成水土保持设施验收</w:t>
      </w:r>
      <w:r>
        <w:rPr>
          <w:rFonts w:hint="eastAsia" w:ascii="仿宋_GB2312" w:hAnsi="宋体" w:eastAsia="仿宋_GB2312" w:cs="Times New Roman"/>
          <w:b w:val="0"/>
          <w:bCs/>
          <w:sz w:val="24"/>
          <w:szCs w:val="24"/>
          <w:highlight w:val="none"/>
          <w:lang w:val="en-US" w:eastAsia="zh-CN"/>
        </w:rPr>
        <w:t>，并</w:t>
      </w:r>
      <w:r>
        <w:rPr>
          <w:rFonts w:hint="eastAsia" w:ascii="仿宋_GB2312" w:hAnsi="宋体" w:eastAsia="仿宋_GB2312"/>
          <w:sz w:val="24"/>
          <w:highlight w:val="none"/>
        </w:rPr>
        <w:t>提供通过</w:t>
      </w:r>
      <w:r>
        <w:rPr>
          <w:rFonts w:hint="eastAsia" w:ascii="仿宋_GB2312" w:hAnsi="宋体" w:eastAsia="仿宋_GB2312"/>
          <w:sz w:val="24"/>
          <w:highlight w:val="none"/>
          <w:lang w:val="en-US" w:eastAsia="zh-CN"/>
        </w:rPr>
        <w:t>完成</w:t>
      </w:r>
      <w:r>
        <w:rPr>
          <w:rFonts w:hint="eastAsia" w:ascii="仿宋_GB2312" w:hAnsi="宋体" w:eastAsia="仿宋_GB2312"/>
          <w:sz w:val="24"/>
          <w:highlight w:val="none"/>
          <w:lang w:val="en-US" w:eastAsia="zh-CN"/>
        </w:rPr>
        <w:t>备案</w:t>
      </w:r>
      <w:r>
        <w:rPr>
          <w:rFonts w:hint="eastAsia" w:ascii="仿宋_GB2312" w:hAnsi="宋体" w:eastAsia="仿宋_GB2312"/>
          <w:sz w:val="24"/>
          <w:highlight w:val="none"/>
        </w:rPr>
        <w:t>的水土保持</w:t>
      </w:r>
      <w:r>
        <w:rPr>
          <w:rFonts w:hint="eastAsia" w:ascii="仿宋_GB2312" w:hAnsi="宋体" w:eastAsia="仿宋_GB2312"/>
          <w:sz w:val="24"/>
          <w:highlight w:val="none"/>
          <w:lang w:val="en-US" w:eastAsia="zh-CN"/>
        </w:rPr>
        <w:t>验收报告书</w:t>
      </w:r>
      <w:r>
        <w:rPr>
          <w:rFonts w:hint="eastAsia" w:ascii="仿宋_GB2312" w:hAnsi="宋体" w:eastAsia="仿宋_GB2312"/>
          <w:sz w:val="24"/>
          <w:highlight w:val="none"/>
        </w:rPr>
        <w:t>和</w:t>
      </w:r>
      <w:r>
        <w:rPr>
          <w:rFonts w:hint="eastAsia" w:ascii="仿宋_GB2312" w:hAnsi="宋体" w:eastAsia="仿宋_GB2312"/>
          <w:sz w:val="24"/>
          <w:highlight w:val="none"/>
          <w:lang w:val="en-US" w:eastAsia="zh-CN"/>
        </w:rPr>
        <w:t>备案回执</w:t>
      </w:r>
      <w:r>
        <w:rPr>
          <w:rFonts w:hint="eastAsia" w:ascii="仿宋_GB2312" w:hAnsi="宋体" w:eastAsia="仿宋_GB2312"/>
          <w:sz w:val="24"/>
          <w:highlight w:val="none"/>
        </w:rPr>
        <w:t>文件。</w:t>
      </w:r>
    </w:p>
    <w:p w14:paraId="15511729">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b/>
          <w:sz w:val="24"/>
          <w:highlight w:val="none"/>
        </w:rPr>
      </w:pPr>
      <w:r>
        <w:rPr>
          <w:rFonts w:hint="eastAsia" w:ascii="仿宋_GB2312" w:hAnsi="宋体" w:eastAsia="仿宋_GB2312"/>
          <w:b/>
          <w:sz w:val="24"/>
          <w:highlight w:val="none"/>
          <w:lang w:val="en-US" w:eastAsia="zh-CN"/>
        </w:rPr>
        <w:t>六</w:t>
      </w:r>
      <w:r>
        <w:rPr>
          <w:rFonts w:hint="eastAsia" w:ascii="仿宋_GB2312" w:hAnsi="宋体" w:eastAsia="仿宋_GB2312"/>
          <w:b/>
          <w:sz w:val="24"/>
          <w:highlight w:val="none"/>
        </w:rPr>
        <w:t>、报酬及支付方法：</w:t>
      </w:r>
    </w:p>
    <w:p w14:paraId="6177E13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rPr>
        <w:t>1、本项目报酬为人民币计：￥</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u w:val="none"/>
        </w:rPr>
        <w:t>元</w:t>
      </w:r>
      <w:r>
        <w:rPr>
          <w:rFonts w:hint="eastAsia" w:ascii="仿宋_GB2312" w:hAnsi="宋体" w:eastAsia="仿宋_GB2312"/>
          <w:sz w:val="24"/>
          <w:highlight w:val="none"/>
        </w:rPr>
        <w:t>（大写：</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rPr>
        <w:t>元整）。</w:t>
      </w:r>
    </w:p>
    <w:p w14:paraId="08DBE300">
      <w:pPr>
        <w:keepNext w:val="0"/>
        <w:keepLines w:val="0"/>
        <w:widowControl/>
        <w:suppressLineNumbers w:val="0"/>
        <w:ind w:firstLine="480" w:firstLineChars="200"/>
        <w:jc w:val="left"/>
        <w:rPr>
          <w:rFonts w:hint="eastAsia"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其中《二环路雁塔路立交交通优化工程》水土保持验收服务报酬为人民币计：￥</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lang w:val="en-US" w:eastAsia="zh-CN"/>
        </w:rPr>
        <w:t>元（大写：</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lang w:val="en-US" w:eastAsia="zh-CN"/>
        </w:rPr>
        <w:t>元整）；《西南二环立交交通优化工程》水土保持验收报酬为人民币计：￥</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lang w:val="en-US" w:eastAsia="zh-CN"/>
        </w:rPr>
        <w:t>元（大写：</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lang w:val="en-US" w:eastAsia="zh-CN"/>
        </w:rPr>
        <w:t>元整）</w:t>
      </w:r>
    </w:p>
    <w:p w14:paraId="33890F56">
      <w:pPr>
        <w:keepNext w:val="0"/>
        <w:keepLines w:val="0"/>
        <w:widowControl/>
        <w:suppressLineNumbers w:val="0"/>
        <w:ind w:firstLine="480" w:firstLineChars="200"/>
        <w:jc w:val="left"/>
        <w:rPr>
          <w:rFonts w:hint="eastAsia"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2、支付方式：</w:t>
      </w:r>
    </w:p>
    <w:p w14:paraId="468DF75E">
      <w:pPr>
        <w:keepNext w:val="0"/>
        <w:keepLines w:val="0"/>
        <w:widowControl/>
        <w:suppressLineNumbers w:val="0"/>
        <w:ind w:firstLine="480" w:firstLineChars="200"/>
        <w:jc w:val="left"/>
        <w:rPr>
          <w:rFonts w:hint="eastAsia"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1）</w:t>
      </w:r>
      <w:r>
        <w:rPr>
          <w:rFonts w:hint="eastAsia" w:ascii="仿宋_GB2312" w:hAnsi="宋体" w:eastAsia="仿宋_GB2312"/>
          <w:sz w:val="24"/>
          <w:highlight w:val="none"/>
          <w:lang w:val="en-US" w:eastAsia="zh-CN"/>
        </w:rPr>
        <w:t>完成</w:t>
      </w:r>
      <w:r>
        <w:rPr>
          <w:rFonts w:hint="eastAsia" w:ascii="仿宋_GB2312" w:hAnsi="宋体" w:eastAsia="仿宋_GB2312"/>
          <w:sz w:val="24"/>
          <w:highlight w:val="none"/>
          <w:lang w:val="en-US" w:eastAsia="zh-CN"/>
        </w:rPr>
        <w:t>《二环路雁塔路立交交通优化工程》水土保持验收向监管部门报备，取得报备完成证明并提供验收报告等成果资料，甲方向乙方支付合同总金额的50%，计￥</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lang w:val="en-US" w:eastAsia="zh-CN"/>
        </w:rPr>
        <w:t>元（大写：</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lang w:val="en-US" w:eastAsia="zh-CN"/>
        </w:rPr>
        <w:t>元整）。</w:t>
      </w:r>
    </w:p>
    <w:p w14:paraId="75F1AD6E">
      <w:pPr>
        <w:keepNext w:val="0"/>
        <w:keepLines w:val="0"/>
        <w:widowControl/>
        <w:suppressLineNumbers w:val="0"/>
        <w:ind w:firstLine="480" w:firstLineChars="200"/>
        <w:jc w:val="left"/>
        <w:rPr>
          <w:rFonts w:hint="eastAsia" w:ascii="仿宋_GB2312" w:hAnsi="宋体" w:eastAsia="仿宋_GB2312"/>
          <w:sz w:val="24"/>
          <w:highlight w:val="none"/>
        </w:rPr>
      </w:pPr>
      <w:r>
        <w:rPr>
          <w:rFonts w:hint="eastAsia" w:ascii="仿宋_GB2312" w:hAnsi="宋体" w:eastAsia="仿宋_GB2312"/>
          <w:sz w:val="24"/>
          <w:highlight w:val="none"/>
          <w:lang w:val="en-US" w:eastAsia="zh-CN"/>
        </w:rPr>
        <w:t>2）完成《西南二环立交交通优化工程》水土保持验收向监管部门报备，取得报备完成证明并提供验收报告等成果资料，</w:t>
      </w:r>
      <w:r>
        <w:rPr>
          <w:rFonts w:hint="eastAsia" w:ascii="仿宋_GB2312" w:hAnsi="宋体" w:eastAsia="仿宋_GB2312"/>
          <w:sz w:val="24"/>
          <w:highlight w:val="none"/>
        </w:rPr>
        <w:t>甲方向乙方</w:t>
      </w:r>
      <w:r>
        <w:rPr>
          <w:rFonts w:hint="eastAsia" w:ascii="仿宋_GB2312" w:hAnsi="宋体" w:eastAsia="仿宋_GB2312"/>
          <w:sz w:val="24"/>
          <w:highlight w:val="none"/>
          <w:lang w:val="en-US" w:eastAsia="zh-CN"/>
        </w:rPr>
        <w:t>支付</w:t>
      </w:r>
      <w:r>
        <w:rPr>
          <w:rFonts w:hint="eastAsia" w:ascii="仿宋_GB2312" w:hAnsi="宋体" w:eastAsia="仿宋_GB2312"/>
          <w:sz w:val="24"/>
          <w:highlight w:val="none"/>
        </w:rPr>
        <w:t>合同总</w:t>
      </w:r>
      <w:r>
        <w:rPr>
          <w:rFonts w:hint="eastAsia" w:ascii="仿宋_GB2312" w:hAnsi="宋体" w:eastAsia="仿宋_GB2312"/>
          <w:sz w:val="24"/>
          <w:highlight w:val="none"/>
          <w:lang w:val="en-US" w:eastAsia="zh-CN"/>
        </w:rPr>
        <w:t>金</w:t>
      </w:r>
      <w:r>
        <w:rPr>
          <w:rFonts w:hint="eastAsia" w:ascii="仿宋_GB2312" w:hAnsi="宋体" w:eastAsia="仿宋_GB2312"/>
          <w:sz w:val="24"/>
          <w:highlight w:val="none"/>
        </w:rPr>
        <w:t>额的</w:t>
      </w:r>
      <w:r>
        <w:rPr>
          <w:rFonts w:hint="eastAsia" w:ascii="仿宋_GB2312" w:hAnsi="宋体" w:eastAsia="仿宋_GB2312"/>
          <w:sz w:val="24"/>
          <w:highlight w:val="none"/>
          <w:lang w:val="en-US" w:eastAsia="zh-CN"/>
        </w:rPr>
        <w:t>5</w:t>
      </w:r>
      <w:r>
        <w:rPr>
          <w:rFonts w:hint="eastAsia" w:ascii="仿宋_GB2312" w:hAnsi="宋体" w:eastAsia="仿宋_GB2312"/>
          <w:sz w:val="24"/>
          <w:highlight w:val="none"/>
        </w:rPr>
        <w:t>0%，计￥</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rPr>
        <w:t>元（大写：</w:t>
      </w:r>
      <w:r>
        <w:rPr>
          <w:rFonts w:hint="eastAsia" w:ascii="仿宋_GB2312" w:hAnsi="宋体" w:eastAsia="仿宋_GB2312"/>
          <w:sz w:val="24"/>
          <w:highlight w:val="none"/>
          <w:u w:val="single"/>
          <w:lang w:val="en-US" w:eastAsia="zh-CN"/>
        </w:rPr>
        <w:t xml:space="preserve">         </w:t>
      </w:r>
      <w:r>
        <w:rPr>
          <w:rFonts w:hint="eastAsia" w:ascii="仿宋_GB2312" w:hAnsi="宋体" w:eastAsia="仿宋_GB2312"/>
          <w:sz w:val="24"/>
          <w:highlight w:val="none"/>
        </w:rPr>
        <w:t>元整）。</w:t>
      </w:r>
    </w:p>
    <w:p w14:paraId="1A23FC81">
      <w:pPr>
        <w:keepNext w:val="0"/>
        <w:keepLines w:val="0"/>
        <w:pageBreakBefore w:val="0"/>
        <w:tabs>
          <w:tab w:val="left" w:pos="6449"/>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每次付款前，乙方向甲方提供正规发票。</w:t>
      </w:r>
    </w:p>
    <w:p w14:paraId="52223FFA">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b/>
          <w:sz w:val="24"/>
          <w:highlight w:val="none"/>
        </w:rPr>
      </w:pPr>
      <w:r>
        <w:rPr>
          <w:rFonts w:hint="eastAsia" w:ascii="仿宋_GB2312" w:hAnsi="宋体" w:eastAsia="仿宋_GB2312"/>
          <w:b/>
          <w:sz w:val="24"/>
          <w:highlight w:val="none"/>
          <w:lang w:val="en-US" w:eastAsia="zh-CN"/>
        </w:rPr>
        <w:t>七、</w:t>
      </w:r>
      <w:r>
        <w:rPr>
          <w:rFonts w:hint="eastAsia" w:ascii="仿宋_GB2312" w:hAnsi="宋体" w:eastAsia="仿宋_GB2312"/>
          <w:b/>
          <w:sz w:val="24"/>
          <w:highlight w:val="none"/>
        </w:rPr>
        <w:t>违约责任：</w:t>
      </w:r>
    </w:p>
    <w:p w14:paraId="7DC2166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rPr>
        <w:t>本合同签定后，甲乙双方应严格履行，任何一方不得擅自变更或解除，否则违约方承担相应责任。根据“中华人民共和国</w:t>
      </w:r>
      <w:r>
        <w:rPr>
          <w:rFonts w:hint="eastAsia" w:ascii="仿宋_GB2312" w:hAnsi="宋体" w:eastAsia="仿宋_GB2312"/>
          <w:sz w:val="24"/>
          <w:highlight w:val="none"/>
          <w:lang w:val="en-US" w:eastAsia="zh-CN"/>
        </w:rPr>
        <w:t>民法典</w:t>
      </w:r>
      <w:r>
        <w:rPr>
          <w:rFonts w:hint="eastAsia" w:ascii="仿宋_GB2312" w:hAnsi="宋体" w:eastAsia="仿宋_GB2312"/>
          <w:sz w:val="24"/>
          <w:highlight w:val="none"/>
        </w:rPr>
        <w:t>”第</w:t>
      </w:r>
      <w:r>
        <w:rPr>
          <w:rFonts w:hint="eastAsia" w:ascii="仿宋_GB2312" w:hAnsi="宋体" w:eastAsia="仿宋_GB2312"/>
          <w:sz w:val="24"/>
          <w:highlight w:val="none"/>
          <w:lang w:val="en-US" w:eastAsia="zh-CN"/>
        </w:rPr>
        <w:t>八章违约责任内容</w:t>
      </w:r>
      <w:r>
        <w:rPr>
          <w:rFonts w:hint="eastAsia" w:ascii="仿宋_GB2312" w:hAnsi="宋体" w:eastAsia="仿宋_GB2312"/>
          <w:sz w:val="24"/>
          <w:highlight w:val="none"/>
        </w:rPr>
        <w:t>，双方约定如下：</w:t>
      </w:r>
    </w:p>
    <w:p w14:paraId="5C6B069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rPr>
        <w:t>1、甲方不履行合同义务或者履行合同义务不符合约定，影响工作进度，应顺延乙方完成时间</w:t>
      </w:r>
      <w:r>
        <w:rPr>
          <w:rFonts w:hint="eastAsia" w:ascii="仿宋_GB2312" w:eastAsia="仿宋_GB2312"/>
          <w:bCs/>
          <w:sz w:val="24"/>
          <w:highlight w:val="none"/>
        </w:rPr>
        <w:t>。</w:t>
      </w:r>
    </w:p>
    <w:p w14:paraId="50240F0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宋体" w:eastAsia="仿宋_GB2312"/>
          <w:bCs/>
          <w:sz w:val="24"/>
          <w:highlight w:val="none"/>
        </w:rPr>
      </w:pPr>
      <w:r>
        <w:rPr>
          <w:rFonts w:hint="eastAsia" w:ascii="仿宋_GB2312" w:eastAsia="仿宋_GB2312"/>
          <w:spacing w:val="20"/>
          <w:sz w:val="24"/>
          <w:highlight w:val="none"/>
        </w:rPr>
        <w:t>2、</w:t>
      </w:r>
      <w:r>
        <w:rPr>
          <w:rFonts w:hint="eastAsia" w:ascii="仿宋_GB2312" w:hAnsi="宋体" w:eastAsia="仿宋_GB2312"/>
          <w:bCs/>
          <w:sz w:val="24"/>
          <w:highlight w:val="none"/>
        </w:rPr>
        <w:t>乙方未履行本协议约定的责任和义务，或乙方因水土保持</w:t>
      </w:r>
      <w:r>
        <w:rPr>
          <w:rFonts w:hint="eastAsia" w:ascii="仿宋_GB2312" w:hAnsi="宋体" w:eastAsia="仿宋_GB2312"/>
          <w:bCs/>
          <w:sz w:val="24"/>
          <w:highlight w:val="none"/>
          <w:lang w:val="en-US" w:eastAsia="zh-CN"/>
        </w:rPr>
        <w:t>验收工作</w:t>
      </w:r>
      <w:r>
        <w:rPr>
          <w:rFonts w:hint="eastAsia" w:ascii="仿宋_GB2312" w:hAnsi="宋体" w:eastAsia="仿宋_GB2312"/>
          <w:bCs/>
          <w:sz w:val="24"/>
          <w:highlight w:val="none"/>
        </w:rPr>
        <w:t>未能达到相关技术要求并造成损失的，由乙方承担相应责任</w:t>
      </w:r>
      <w:r>
        <w:rPr>
          <w:rFonts w:hint="eastAsia" w:ascii="仿宋_GB2312" w:hAnsi="宋体" w:eastAsia="仿宋_GB2312"/>
          <w:bCs/>
          <w:sz w:val="24"/>
          <w:highlight w:val="none"/>
          <w:lang w:eastAsia="zh-CN"/>
        </w:rPr>
        <w:t>，</w:t>
      </w:r>
      <w:r>
        <w:rPr>
          <w:rFonts w:hint="eastAsia" w:ascii="仿宋_GB2312" w:hAnsi="宋体" w:eastAsia="仿宋_GB2312"/>
          <w:bCs/>
          <w:sz w:val="24"/>
          <w:highlight w:val="none"/>
          <w:lang w:val="en-US" w:eastAsia="zh-CN"/>
        </w:rPr>
        <w:t>并承担因此给甲方造成的全部损失，包括但不限于直接损失、间接损失、因实现权益而产生的律师费、保全费、保函费、差旅费等。</w:t>
      </w:r>
    </w:p>
    <w:p w14:paraId="10741CAB">
      <w:pPr>
        <w:keepNext w:val="0"/>
        <w:keepLines w:val="0"/>
        <w:pageBreakBefore w:val="0"/>
        <w:widowControl w:val="0"/>
        <w:kinsoku/>
        <w:wordWrap/>
        <w:overflowPunct/>
        <w:topLinePunct w:val="0"/>
        <w:autoSpaceDE/>
        <w:autoSpaceDN/>
        <w:bidi w:val="0"/>
        <w:adjustRightInd/>
        <w:snapToGrid/>
        <w:spacing w:line="520" w:lineRule="exact"/>
        <w:ind w:right="300" w:firstLine="480" w:firstLineChars="200"/>
        <w:textAlignment w:val="auto"/>
        <w:rPr>
          <w:rFonts w:hint="eastAsia" w:ascii="仿宋_GB2312" w:hAnsi="宋体" w:eastAsia="仿宋_GB2312"/>
          <w:b/>
          <w:bCs/>
          <w:sz w:val="24"/>
          <w:highlight w:val="none"/>
        </w:rPr>
      </w:pPr>
      <w:r>
        <w:rPr>
          <w:rFonts w:hint="eastAsia" w:ascii="仿宋_GB2312" w:hAnsi="宋体" w:eastAsia="仿宋_GB2312"/>
          <w:bCs/>
          <w:sz w:val="24"/>
          <w:highlight w:val="none"/>
        </w:rPr>
        <w:t>3、乙方未能按时完成工作，每延迟一天</w:t>
      </w:r>
      <w:r>
        <w:rPr>
          <w:rFonts w:hint="eastAsia" w:ascii="仿宋_GB2312" w:hAnsi="宋体" w:eastAsia="仿宋_GB2312"/>
          <w:bCs/>
          <w:sz w:val="24"/>
          <w:highlight w:val="none"/>
          <w:lang w:eastAsia="zh-CN"/>
        </w:rPr>
        <w:t>，</w:t>
      </w:r>
      <w:r>
        <w:rPr>
          <w:rFonts w:hint="eastAsia" w:ascii="仿宋_GB2312" w:hAnsi="宋体" w:eastAsia="仿宋_GB2312"/>
          <w:bCs/>
          <w:sz w:val="24"/>
          <w:highlight w:val="none"/>
        </w:rPr>
        <w:t>乙方应</w:t>
      </w:r>
      <w:r>
        <w:rPr>
          <w:rFonts w:hint="eastAsia" w:ascii="仿宋_GB2312" w:hAnsi="宋体" w:eastAsia="仿宋_GB2312"/>
          <w:bCs/>
          <w:sz w:val="24"/>
          <w:highlight w:val="none"/>
          <w:lang w:val="en-US" w:eastAsia="zh-CN"/>
        </w:rPr>
        <w:t>向甲方</w:t>
      </w:r>
      <w:r>
        <w:rPr>
          <w:rFonts w:hint="eastAsia" w:ascii="仿宋_GB2312" w:hAnsi="宋体" w:eastAsia="仿宋_GB2312"/>
          <w:bCs/>
          <w:sz w:val="24"/>
          <w:highlight w:val="none"/>
        </w:rPr>
        <w:t>支付</w:t>
      </w:r>
      <w:r>
        <w:rPr>
          <w:rFonts w:hint="eastAsia" w:ascii="仿宋_GB2312" w:hAnsi="宋体" w:eastAsia="仿宋_GB2312"/>
          <w:bCs/>
          <w:sz w:val="24"/>
          <w:highlight w:val="none"/>
          <w:lang w:val="en-US" w:eastAsia="zh-CN"/>
        </w:rPr>
        <w:t>合同总金额</w:t>
      </w:r>
      <w:r>
        <w:rPr>
          <w:rFonts w:hint="eastAsia" w:ascii="仿宋_GB2312" w:hAnsi="宋体" w:eastAsia="仿宋_GB2312"/>
          <w:bCs/>
          <w:sz w:val="24"/>
          <w:highlight w:val="none"/>
        </w:rPr>
        <w:t>1‰的违约金</w:t>
      </w:r>
      <w:r>
        <w:rPr>
          <w:rFonts w:hint="eastAsia" w:ascii="仿宋_GB2312" w:hAnsi="宋体" w:eastAsia="仿宋_GB2312"/>
          <w:b/>
          <w:bCs/>
          <w:sz w:val="24"/>
          <w:highlight w:val="none"/>
        </w:rPr>
        <w:t>。</w:t>
      </w:r>
    </w:p>
    <w:p w14:paraId="0F6DC8CE">
      <w:pPr>
        <w:keepNext w:val="0"/>
        <w:keepLines w:val="0"/>
        <w:pageBreakBefore w:val="0"/>
        <w:widowControl w:val="0"/>
        <w:kinsoku/>
        <w:wordWrap/>
        <w:overflowPunct/>
        <w:topLinePunct w:val="0"/>
        <w:autoSpaceDE/>
        <w:autoSpaceDN/>
        <w:bidi w:val="0"/>
        <w:adjustRightInd/>
        <w:snapToGrid/>
        <w:spacing w:line="520" w:lineRule="exact"/>
        <w:ind w:right="300" w:firstLine="480" w:firstLineChars="200"/>
        <w:textAlignment w:val="auto"/>
        <w:rPr>
          <w:rFonts w:hint="eastAsia" w:ascii="仿宋_GB2312" w:eastAsia="仿宋_GB2312"/>
          <w:spacing w:val="20"/>
          <w:sz w:val="24"/>
          <w:highlight w:val="none"/>
        </w:rPr>
      </w:pPr>
      <w:r>
        <w:rPr>
          <w:rFonts w:hint="eastAsia" w:ascii="仿宋_GB2312" w:eastAsia="仿宋_GB2312"/>
          <w:bCs/>
          <w:sz w:val="24"/>
          <w:highlight w:val="none"/>
        </w:rPr>
        <w:t>4、如遇不可抗拒力原因造成本合同不能正常执行，则由双方协商解决。</w:t>
      </w:r>
    </w:p>
    <w:p w14:paraId="4A16D14F">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b/>
          <w:sz w:val="24"/>
          <w:highlight w:val="none"/>
        </w:rPr>
      </w:pPr>
      <w:r>
        <w:rPr>
          <w:rFonts w:hint="eastAsia" w:ascii="仿宋_GB2312" w:hAnsi="宋体" w:eastAsia="仿宋_GB2312"/>
          <w:b/>
          <w:sz w:val="24"/>
          <w:highlight w:val="none"/>
          <w:lang w:val="en-US" w:eastAsia="zh-CN"/>
        </w:rPr>
        <w:t>八</w:t>
      </w:r>
      <w:r>
        <w:rPr>
          <w:rFonts w:hint="eastAsia" w:ascii="仿宋_GB2312" w:hAnsi="宋体" w:eastAsia="仿宋_GB2312"/>
          <w:b/>
          <w:sz w:val="24"/>
          <w:highlight w:val="none"/>
        </w:rPr>
        <w:t>、争议的解决办法：</w:t>
      </w:r>
    </w:p>
    <w:p w14:paraId="4BBE1BE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宋体" w:eastAsia="仿宋_GB2312"/>
          <w:sz w:val="24"/>
          <w:highlight w:val="none"/>
        </w:rPr>
      </w:pPr>
      <w:r>
        <w:rPr>
          <w:rFonts w:hint="eastAsia" w:ascii="仿宋_GB2312" w:hAnsi="宋体" w:eastAsia="仿宋_GB2312"/>
          <w:sz w:val="24"/>
          <w:highlight w:val="none"/>
        </w:rPr>
        <w:t>在合同履行过程中发生争议，双方协商解决。协商解决不了的，双方均可向</w:t>
      </w:r>
      <w:r>
        <w:rPr>
          <w:rFonts w:hint="eastAsia" w:ascii="仿宋_GB2312" w:hAnsi="宋体" w:eastAsia="仿宋_GB2312"/>
          <w:sz w:val="24"/>
          <w:highlight w:val="none"/>
          <w:u w:val="single"/>
          <w:lang w:val="en-US" w:eastAsia="zh-CN"/>
        </w:rPr>
        <w:t>甲方所在地</w:t>
      </w:r>
      <w:r>
        <w:rPr>
          <w:rFonts w:hint="eastAsia" w:ascii="仿宋_GB2312" w:hAnsi="宋体" w:eastAsia="仿宋_GB2312"/>
          <w:sz w:val="24"/>
          <w:highlight w:val="none"/>
        </w:rPr>
        <w:t>人民法院提请诉讼。</w:t>
      </w:r>
    </w:p>
    <w:p w14:paraId="776A10EF">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outlineLvl w:val="0"/>
        <w:rPr>
          <w:rFonts w:hint="eastAsia" w:ascii="仿宋_GB2312" w:hAnsi="宋体" w:eastAsia="仿宋_GB2312"/>
          <w:b/>
          <w:sz w:val="24"/>
          <w:highlight w:val="none"/>
        </w:rPr>
      </w:pPr>
      <w:r>
        <w:rPr>
          <w:rFonts w:hint="eastAsia" w:ascii="仿宋_GB2312" w:hAnsi="宋体" w:eastAsia="仿宋_GB2312"/>
          <w:b/>
          <w:sz w:val="24"/>
          <w:highlight w:val="none"/>
          <w:lang w:val="en-US" w:eastAsia="zh-CN"/>
        </w:rPr>
        <w:t>九</w:t>
      </w:r>
      <w:r>
        <w:rPr>
          <w:rFonts w:hint="eastAsia" w:ascii="仿宋_GB2312" w:hAnsi="宋体" w:eastAsia="仿宋_GB2312"/>
          <w:b/>
          <w:sz w:val="24"/>
          <w:highlight w:val="none"/>
        </w:rPr>
        <w:t>、其它事项：</w:t>
      </w:r>
    </w:p>
    <w:p w14:paraId="6DAF18BE">
      <w:pPr>
        <w:spacing w:before="65" w:line="360" w:lineRule="auto"/>
        <w:ind w:firstLine="480" w:firstLineChars="200"/>
        <w:rPr>
          <w:rFonts w:hint="eastAsia" w:ascii="仿宋_GB2312" w:hAnsi="宋体" w:eastAsia="仿宋_GB2312"/>
          <w:color w:val="auto"/>
          <w:sz w:val="24"/>
          <w:highlight w:val="none"/>
        </w:rPr>
      </w:pPr>
      <w:r>
        <w:rPr>
          <w:rFonts w:hint="eastAsia" w:ascii="仿宋_GB2312" w:hAnsi="宋体" w:eastAsia="仿宋_GB2312"/>
          <w:sz w:val="24"/>
          <w:highlight w:val="none"/>
        </w:rPr>
        <w:t>本合同未尽事宜，双方协商解决。本合同</w:t>
      </w:r>
      <w:r>
        <w:rPr>
          <w:rFonts w:hint="eastAsia" w:ascii="仿宋_GB2312" w:hAnsi="宋体" w:eastAsia="仿宋_GB2312"/>
          <w:color w:val="auto"/>
          <w:sz w:val="24"/>
          <w:highlight w:val="none"/>
        </w:rPr>
        <w:t>正本贰份，双方各执壹份，副本</w:t>
      </w:r>
      <w:r>
        <w:rPr>
          <w:rFonts w:hint="eastAsia" w:ascii="仿宋_GB2312" w:hAnsi="宋体" w:eastAsia="仿宋_GB2312"/>
          <w:color w:val="auto"/>
          <w:sz w:val="24"/>
          <w:highlight w:val="none"/>
          <w:lang w:val="en-US" w:eastAsia="zh-CN"/>
        </w:rPr>
        <w:t>陆</w:t>
      </w:r>
      <w:r>
        <w:rPr>
          <w:rFonts w:hint="eastAsia" w:ascii="仿宋_GB2312" w:hAnsi="宋体" w:eastAsia="仿宋_GB2312"/>
          <w:color w:val="auto"/>
          <w:sz w:val="24"/>
          <w:highlight w:val="none"/>
        </w:rPr>
        <w:t>份，甲方</w:t>
      </w:r>
      <w:r>
        <w:rPr>
          <w:rFonts w:hint="eastAsia" w:ascii="仿宋_GB2312" w:hAnsi="宋体" w:eastAsia="仿宋_GB2312"/>
          <w:color w:val="auto"/>
          <w:sz w:val="24"/>
          <w:highlight w:val="none"/>
          <w:lang w:val="en-US" w:eastAsia="zh-CN"/>
        </w:rPr>
        <w:t>肆</w:t>
      </w:r>
      <w:r>
        <w:rPr>
          <w:rFonts w:hint="eastAsia" w:ascii="仿宋_GB2312" w:hAnsi="宋体" w:eastAsia="仿宋_GB2312"/>
          <w:color w:val="auto"/>
          <w:sz w:val="24"/>
          <w:highlight w:val="none"/>
        </w:rPr>
        <w:t>份，乙方执</w:t>
      </w:r>
      <w:r>
        <w:rPr>
          <w:rFonts w:hint="eastAsia" w:ascii="仿宋_GB2312" w:hAnsi="宋体" w:eastAsia="仿宋_GB2312"/>
          <w:color w:val="auto"/>
          <w:sz w:val="24"/>
          <w:highlight w:val="none"/>
          <w:lang w:val="en-US" w:eastAsia="zh-CN"/>
        </w:rPr>
        <w:t>贰</w:t>
      </w:r>
      <w:r>
        <w:rPr>
          <w:rFonts w:hint="eastAsia" w:ascii="仿宋_GB2312" w:hAnsi="宋体" w:eastAsia="仿宋_GB2312"/>
          <w:color w:val="auto"/>
          <w:sz w:val="24"/>
          <w:highlight w:val="none"/>
        </w:rPr>
        <w:t xml:space="preserve">份，甲乙双方签字盖章后生效。 </w:t>
      </w:r>
    </w:p>
    <w:tbl>
      <w:tblPr>
        <w:tblStyle w:val="4"/>
        <w:tblW w:w="4887" w:type="pct"/>
        <w:tblInd w:w="159" w:type="dxa"/>
        <w:tblLayout w:type="fixed"/>
        <w:tblCellMar>
          <w:top w:w="0" w:type="dxa"/>
          <w:left w:w="108" w:type="dxa"/>
          <w:bottom w:w="0" w:type="dxa"/>
          <w:right w:w="108" w:type="dxa"/>
        </w:tblCellMar>
      </w:tblPr>
      <w:tblGrid>
        <w:gridCol w:w="4170"/>
        <w:gridCol w:w="4159"/>
      </w:tblGrid>
      <w:tr w14:paraId="08081CD5">
        <w:tblPrEx>
          <w:tblCellMar>
            <w:top w:w="0" w:type="dxa"/>
            <w:left w:w="108" w:type="dxa"/>
            <w:bottom w:w="0" w:type="dxa"/>
            <w:right w:w="108" w:type="dxa"/>
          </w:tblCellMar>
        </w:tblPrEx>
        <w:trPr>
          <w:trHeight w:val="567" w:hRule="atLeast"/>
        </w:trPr>
        <w:tc>
          <w:tcPr>
            <w:tcW w:w="4553" w:type="dxa"/>
            <w:noWrap w:val="0"/>
            <w:vAlign w:val="center"/>
          </w:tcPr>
          <w:p w14:paraId="3E16B7CE">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：（盖公章）</w:t>
            </w:r>
            <w:r>
              <w:rPr>
                <w:rFonts w:hint="eastAsia" w:ascii="仿宋_GB2312" w:hAnsi="仿宋_GB2312" w:eastAsia="仿宋_GB2312" w:cs="仿宋_GB2312"/>
                <w:color w:val="auto"/>
                <w:sz w:val="24"/>
                <w:szCs w:val="24"/>
                <w:highlight w:val="none"/>
                <w:u w:val="single"/>
              </w:rPr>
              <w:t xml:space="preserve">                          </w:t>
            </w:r>
          </w:p>
        </w:tc>
        <w:tc>
          <w:tcPr>
            <w:tcW w:w="4541" w:type="dxa"/>
            <w:noWrap w:val="0"/>
            <w:vAlign w:val="center"/>
          </w:tcPr>
          <w:p w14:paraId="6FC783AB">
            <w:pPr>
              <w:keepNext w:val="0"/>
              <w:keepLines w:val="0"/>
              <w:suppressLineNumbers w:val="0"/>
              <w:adjustRightInd w:val="0"/>
              <w:snapToGrid w:val="0"/>
              <w:spacing w:before="0" w:beforeAutospacing="0" w:after="0" w:afterAutospacing="0" w:line="360" w:lineRule="auto"/>
              <w:ind w:left="1901" w:leftChars="-9" w:right="0" w:hanging="1920" w:hangingChars="8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：（盖公章）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r>
      <w:tr w14:paraId="40AE279C">
        <w:tblPrEx>
          <w:tblCellMar>
            <w:top w:w="0" w:type="dxa"/>
            <w:left w:w="108" w:type="dxa"/>
            <w:bottom w:w="0" w:type="dxa"/>
            <w:right w:w="108" w:type="dxa"/>
          </w:tblCellMar>
        </w:tblPrEx>
        <w:trPr>
          <w:trHeight w:val="567" w:hRule="atLeast"/>
        </w:trPr>
        <w:tc>
          <w:tcPr>
            <w:tcW w:w="4553" w:type="dxa"/>
            <w:noWrap w:val="0"/>
            <w:vAlign w:val="center"/>
          </w:tcPr>
          <w:p w14:paraId="18FABD6A">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r>
              <w:rPr>
                <w:rFonts w:hint="eastAsia" w:ascii="仿宋_GB2312" w:hAnsi="仿宋_GB2312" w:eastAsia="仿宋_GB2312" w:cs="仿宋_GB2312"/>
                <w:color w:val="auto"/>
                <w:sz w:val="24"/>
                <w:szCs w:val="24"/>
                <w:highlight w:val="none"/>
                <w:lang w:val="en-US" w:eastAsia="zh-CN"/>
              </w:rPr>
              <w:t>签字或</w:t>
            </w:r>
            <w:r>
              <w:rPr>
                <w:rFonts w:hint="eastAsia" w:ascii="仿宋_GB2312" w:hAnsi="仿宋_GB2312" w:eastAsia="仿宋_GB2312" w:cs="仿宋_GB2312"/>
                <w:color w:val="auto"/>
                <w:sz w:val="24"/>
                <w:szCs w:val="24"/>
                <w:highlight w:val="none"/>
              </w:rPr>
              <w:t>盖章） ：</w:t>
            </w:r>
            <w:r>
              <w:rPr>
                <w:rFonts w:hint="eastAsia" w:ascii="仿宋_GB2312" w:hAnsi="仿宋_GB2312" w:eastAsia="仿宋_GB2312" w:cs="仿宋_GB2312"/>
                <w:color w:val="auto"/>
                <w:sz w:val="24"/>
                <w:szCs w:val="24"/>
                <w:highlight w:val="none"/>
                <w:u w:val="single"/>
              </w:rPr>
              <w:t xml:space="preserve">                       </w:t>
            </w:r>
          </w:p>
        </w:tc>
        <w:tc>
          <w:tcPr>
            <w:tcW w:w="4541" w:type="dxa"/>
            <w:noWrap w:val="0"/>
            <w:vAlign w:val="center"/>
          </w:tcPr>
          <w:p w14:paraId="745969FA">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r>
              <w:rPr>
                <w:rFonts w:hint="eastAsia" w:ascii="仿宋_GB2312" w:hAnsi="仿宋_GB2312" w:eastAsia="仿宋_GB2312" w:cs="仿宋_GB2312"/>
                <w:color w:val="auto"/>
                <w:sz w:val="24"/>
                <w:szCs w:val="24"/>
                <w:highlight w:val="none"/>
                <w:lang w:val="en-US" w:eastAsia="zh-CN"/>
              </w:rPr>
              <w:t>签字或</w:t>
            </w:r>
            <w:r>
              <w:rPr>
                <w:rFonts w:hint="eastAsia" w:ascii="仿宋_GB2312" w:hAnsi="仿宋_GB2312" w:eastAsia="仿宋_GB2312" w:cs="仿宋_GB2312"/>
                <w:color w:val="auto"/>
                <w:sz w:val="24"/>
                <w:szCs w:val="24"/>
                <w:highlight w:val="none"/>
              </w:rPr>
              <w:t>盖章） ：</w:t>
            </w:r>
            <w:r>
              <w:rPr>
                <w:rFonts w:hint="eastAsia" w:ascii="仿宋_GB2312" w:hAnsi="仿宋_GB2312" w:eastAsia="仿宋_GB2312" w:cs="仿宋_GB2312"/>
                <w:color w:val="auto"/>
                <w:sz w:val="24"/>
                <w:szCs w:val="24"/>
                <w:highlight w:val="none"/>
                <w:u w:val="single"/>
              </w:rPr>
              <w:t xml:space="preserve">                      </w:t>
            </w:r>
          </w:p>
        </w:tc>
      </w:tr>
      <w:tr w14:paraId="1FBE68D8">
        <w:tblPrEx>
          <w:tblCellMar>
            <w:top w:w="0" w:type="dxa"/>
            <w:left w:w="108" w:type="dxa"/>
            <w:bottom w:w="0" w:type="dxa"/>
            <w:right w:w="108" w:type="dxa"/>
          </w:tblCellMar>
        </w:tblPrEx>
        <w:trPr>
          <w:trHeight w:val="567" w:hRule="atLeast"/>
        </w:trPr>
        <w:tc>
          <w:tcPr>
            <w:tcW w:w="4553" w:type="dxa"/>
            <w:noWrap w:val="0"/>
            <w:vAlign w:val="center"/>
          </w:tcPr>
          <w:p w14:paraId="50D38FD7">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经办人（签字）：</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c>
          <w:tcPr>
            <w:tcW w:w="4541" w:type="dxa"/>
            <w:noWrap w:val="0"/>
            <w:vAlign w:val="center"/>
          </w:tcPr>
          <w:p w14:paraId="4C57E4D3">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经办人（签字）：</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r>
      <w:tr w14:paraId="5A599346">
        <w:tblPrEx>
          <w:tblCellMar>
            <w:top w:w="0" w:type="dxa"/>
            <w:left w:w="108" w:type="dxa"/>
            <w:bottom w:w="0" w:type="dxa"/>
            <w:right w:w="108" w:type="dxa"/>
          </w:tblCellMar>
        </w:tblPrEx>
        <w:trPr>
          <w:trHeight w:val="567" w:hRule="atLeast"/>
        </w:trPr>
        <w:tc>
          <w:tcPr>
            <w:tcW w:w="4553" w:type="dxa"/>
            <w:noWrap w:val="0"/>
            <w:vAlign w:val="center"/>
          </w:tcPr>
          <w:p w14:paraId="3452D12B">
            <w:pPr>
              <w:keepNext w:val="0"/>
              <w:keepLines w:val="0"/>
              <w:suppressLineNumbers w:val="0"/>
              <w:adjustRightInd w:val="0"/>
              <w:snapToGrid w:val="0"/>
              <w:spacing w:before="0" w:beforeAutospacing="0" w:after="0" w:afterAutospacing="0" w:line="360" w:lineRule="auto"/>
              <w:ind w:left="630" w:right="0" w:hanging="720" w:hangingChars="3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地址：</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c>
          <w:tcPr>
            <w:tcW w:w="4541" w:type="dxa"/>
            <w:noWrap w:val="0"/>
            <w:vAlign w:val="center"/>
          </w:tcPr>
          <w:p w14:paraId="2F82B411">
            <w:pPr>
              <w:keepNext w:val="0"/>
              <w:keepLines w:val="0"/>
              <w:suppressLineNumbers w:val="0"/>
              <w:adjustRightInd w:val="0"/>
              <w:snapToGrid w:val="0"/>
              <w:spacing w:before="0" w:beforeAutospacing="0" w:after="0" w:afterAutospacing="0" w:line="360" w:lineRule="auto"/>
              <w:ind w:left="630" w:right="0" w:hanging="720" w:hangingChars="3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地址：</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r>
      <w:tr w14:paraId="05B6E1A5">
        <w:tblPrEx>
          <w:tblCellMar>
            <w:top w:w="0" w:type="dxa"/>
            <w:left w:w="108" w:type="dxa"/>
            <w:bottom w:w="0" w:type="dxa"/>
            <w:right w:w="108" w:type="dxa"/>
          </w:tblCellMar>
        </w:tblPrEx>
        <w:trPr>
          <w:trHeight w:val="567" w:hRule="atLeast"/>
        </w:trPr>
        <w:tc>
          <w:tcPr>
            <w:tcW w:w="4553" w:type="dxa"/>
            <w:noWrap w:val="0"/>
            <w:vAlign w:val="center"/>
          </w:tcPr>
          <w:p w14:paraId="4FB079A2">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c>
          <w:tcPr>
            <w:tcW w:w="4541" w:type="dxa"/>
            <w:noWrap w:val="0"/>
            <w:vAlign w:val="center"/>
          </w:tcPr>
          <w:p w14:paraId="3653B89C">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r>
      <w:tr w14:paraId="3BDF229D">
        <w:tblPrEx>
          <w:tblCellMar>
            <w:top w:w="0" w:type="dxa"/>
            <w:left w:w="108" w:type="dxa"/>
            <w:bottom w:w="0" w:type="dxa"/>
            <w:right w:w="108" w:type="dxa"/>
          </w:tblCellMar>
        </w:tblPrEx>
        <w:trPr>
          <w:trHeight w:val="567" w:hRule="atLeast"/>
        </w:trPr>
        <w:tc>
          <w:tcPr>
            <w:tcW w:w="4553" w:type="dxa"/>
            <w:noWrap w:val="0"/>
            <w:vAlign w:val="center"/>
          </w:tcPr>
          <w:p w14:paraId="0CA319AA">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电话：</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c>
          <w:tcPr>
            <w:tcW w:w="4541" w:type="dxa"/>
            <w:noWrap w:val="0"/>
            <w:vAlign w:val="center"/>
          </w:tcPr>
          <w:p w14:paraId="5FCE4853">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电话：</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tc>
      </w:tr>
      <w:tr w14:paraId="42B4A372">
        <w:tblPrEx>
          <w:tblCellMar>
            <w:top w:w="0" w:type="dxa"/>
            <w:left w:w="108" w:type="dxa"/>
            <w:bottom w:w="0" w:type="dxa"/>
            <w:right w:w="108" w:type="dxa"/>
          </w:tblCellMar>
        </w:tblPrEx>
        <w:trPr>
          <w:trHeight w:val="567" w:hRule="atLeast"/>
        </w:trPr>
        <w:tc>
          <w:tcPr>
            <w:tcW w:w="4553" w:type="dxa"/>
            <w:noWrap w:val="0"/>
            <w:vAlign w:val="center"/>
          </w:tcPr>
          <w:p w14:paraId="45A5773A">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传真：</w:t>
            </w:r>
            <w:r>
              <w:rPr>
                <w:rFonts w:hint="eastAsia" w:ascii="仿宋_GB2312" w:hAnsi="仿宋_GB2312" w:eastAsia="仿宋_GB2312" w:cs="仿宋_GB2312"/>
                <w:color w:val="auto"/>
                <w:sz w:val="24"/>
                <w:szCs w:val="24"/>
                <w:highlight w:val="none"/>
                <w:u w:val="single"/>
              </w:rPr>
              <w:t xml:space="preserve">                                     </w:t>
            </w:r>
          </w:p>
        </w:tc>
        <w:tc>
          <w:tcPr>
            <w:tcW w:w="4541" w:type="dxa"/>
            <w:noWrap w:val="0"/>
            <w:vAlign w:val="center"/>
          </w:tcPr>
          <w:p w14:paraId="4239780D">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传真：</w:t>
            </w:r>
            <w:r>
              <w:rPr>
                <w:rFonts w:hint="eastAsia" w:ascii="仿宋_GB2312" w:hAnsi="仿宋_GB2312" w:eastAsia="仿宋_GB2312" w:cs="仿宋_GB2312"/>
                <w:color w:val="auto"/>
                <w:sz w:val="24"/>
                <w:szCs w:val="24"/>
                <w:highlight w:val="none"/>
                <w:u w:val="single"/>
              </w:rPr>
              <w:t xml:space="preserve">                                      </w:t>
            </w:r>
          </w:p>
        </w:tc>
      </w:tr>
      <w:tr w14:paraId="7426E197">
        <w:tblPrEx>
          <w:tblCellMar>
            <w:top w:w="0" w:type="dxa"/>
            <w:left w:w="108" w:type="dxa"/>
            <w:bottom w:w="0" w:type="dxa"/>
            <w:right w:w="108" w:type="dxa"/>
          </w:tblCellMar>
        </w:tblPrEx>
        <w:trPr>
          <w:trHeight w:val="567" w:hRule="atLeast"/>
        </w:trPr>
        <w:tc>
          <w:tcPr>
            <w:tcW w:w="4553" w:type="dxa"/>
            <w:noWrap w:val="0"/>
            <w:vAlign w:val="center"/>
          </w:tcPr>
          <w:p w14:paraId="07FCBFD1">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开户银行：</w:t>
            </w:r>
            <w:r>
              <w:rPr>
                <w:rFonts w:hint="eastAsia" w:ascii="仿宋_GB2312" w:hAnsi="仿宋_GB2312" w:eastAsia="仿宋_GB2312" w:cs="仿宋_GB2312"/>
                <w:color w:val="auto"/>
                <w:sz w:val="24"/>
                <w:szCs w:val="24"/>
                <w:highlight w:val="none"/>
                <w:u w:val="single"/>
              </w:rPr>
              <w:t xml:space="preserve">                                   </w:t>
            </w:r>
          </w:p>
        </w:tc>
        <w:tc>
          <w:tcPr>
            <w:tcW w:w="4541" w:type="dxa"/>
            <w:noWrap w:val="0"/>
            <w:vAlign w:val="center"/>
          </w:tcPr>
          <w:p w14:paraId="034D30E1">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开户银行：</w:t>
            </w:r>
            <w:r>
              <w:rPr>
                <w:rFonts w:hint="eastAsia" w:ascii="仿宋_GB2312" w:hAnsi="仿宋_GB2312" w:eastAsia="仿宋_GB2312" w:cs="仿宋_GB2312"/>
                <w:color w:val="auto"/>
                <w:sz w:val="24"/>
                <w:szCs w:val="24"/>
                <w:highlight w:val="none"/>
                <w:u w:val="single"/>
              </w:rPr>
              <w:t xml:space="preserve">                                   </w:t>
            </w:r>
          </w:p>
        </w:tc>
      </w:tr>
      <w:tr w14:paraId="21EB325A">
        <w:tblPrEx>
          <w:tblCellMar>
            <w:top w:w="0" w:type="dxa"/>
            <w:left w:w="108" w:type="dxa"/>
            <w:bottom w:w="0" w:type="dxa"/>
            <w:right w:w="108" w:type="dxa"/>
          </w:tblCellMar>
        </w:tblPrEx>
        <w:trPr>
          <w:trHeight w:val="567" w:hRule="atLeast"/>
        </w:trPr>
        <w:tc>
          <w:tcPr>
            <w:tcW w:w="4553" w:type="dxa"/>
            <w:noWrap w:val="0"/>
            <w:vAlign w:val="center"/>
          </w:tcPr>
          <w:p w14:paraId="642BBE03">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账号：</w:t>
            </w:r>
            <w:r>
              <w:rPr>
                <w:rFonts w:hint="eastAsia" w:ascii="仿宋_GB2312" w:hAnsi="仿宋_GB2312" w:eastAsia="仿宋_GB2312" w:cs="仿宋_GB2312"/>
                <w:color w:val="auto"/>
                <w:sz w:val="24"/>
                <w:szCs w:val="24"/>
                <w:highlight w:val="none"/>
                <w:u w:val="single"/>
              </w:rPr>
              <w:t xml:space="preserve">                                         </w:t>
            </w:r>
          </w:p>
        </w:tc>
        <w:tc>
          <w:tcPr>
            <w:tcW w:w="4541" w:type="dxa"/>
            <w:noWrap w:val="0"/>
            <w:vAlign w:val="center"/>
          </w:tcPr>
          <w:p w14:paraId="26543757">
            <w:pPr>
              <w:keepNext w:val="0"/>
              <w:keepLines w:val="0"/>
              <w:suppressLineNumbers w:val="0"/>
              <w:adjustRightInd w:val="0"/>
              <w:snapToGrid w:val="0"/>
              <w:spacing w:before="0" w:beforeAutospacing="0" w:after="0" w:afterAutospacing="0" w:line="360" w:lineRule="auto"/>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账号：</w:t>
            </w:r>
            <w:r>
              <w:rPr>
                <w:rFonts w:hint="eastAsia" w:ascii="仿宋_GB2312" w:hAnsi="仿宋_GB2312" w:eastAsia="仿宋_GB2312" w:cs="仿宋_GB2312"/>
                <w:color w:val="auto"/>
                <w:sz w:val="24"/>
                <w:szCs w:val="24"/>
                <w:highlight w:val="none"/>
                <w:u w:val="single"/>
              </w:rPr>
              <w:t xml:space="preserve">                                      </w:t>
            </w:r>
          </w:p>
        </w:tc>
      </w:tr>
      <w:tr w14:paraId="5A7FAFC5">
        <w:tblPrEx>
          <w:tblCellMar>
            <w:top w:w="0" w:type="dxa"/>
            <w:left w:w="108" w:type="dxa"/>
            <w:bottom w:w="0" w:type="dxa"/>
            <w:right w:w="108" w:type="dxa"/>
          </w:tblCellMar>
        </w:tblPrEx>
        <w:trPr>
          <w:trHeight w:val="567" w:hRule="atLeast"/>
        </w:trPr>
        <w:tc>
          <w:tcPr>
            <w:tcW w:w="4553" w:type="dxa"/>
            <w:noWrap w:val="0"/>
            <w:vAlign w:val="center"/>
          </w:tcPr>
          <w:p w14:paraId="34A290EA">
            <w:pPr>
              <w:pStyle w:val="3"/>
              <w:keepNext w:val="0"/>
              <w:keepLines w:val="0"/>
              <w:suppressLineNumbers w:val="0"/>
              <w:spacing w:before="0" w:beforeAutospacing="0" w:after="0" w:afterAutospacing="0"/>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highlight w:val="none"/>
                <w:lang w:val="en-US" w:eastAsia="zh-CN"/>
              </w:rPr>
              <w:t>签订日期：</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年</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月</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日</w:t>
            </w:r>
          </w:p>
        </w:tc>
        <w:tc>
          <w:tcPr>
            <w:tcW w:w="4541" w:type="dxa"/>
            <w:noWrap w:val="0"/>
            <w:vAlign w:val="center"/>
          </w:tcPr>
          <w:p w14:paraId="1ABAFE26">
            <w:pPr>
              <w:pStyle w:val="3"/>
              <w:keepNext w:val="0"/>
              <w:keepLines w:val="0"/>
              <w:suppressLineNumbers w:val="0"/>
              <w:spacing w:before="0" w:beforeAutospacing="0" w:after="0" w:afterAutospacing="0"/>
              <w:ind w:left="0" w:righ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highlight w:val="none"/>
                <w:lang w:val="en-US" w:eastAsia="zh-CN"/>
              </w:rPr>
              <w:t>签订日期：</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年</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月</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日</w:t>
            </w:r>
          </w:p>
        </w:tc>
      </w:tr>
    </w:tbl>
    <w:p w14:paraId="4E2D172E">
      <w:pPr>
        <w:rPr>
          <w:highlight w:val="none"/>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72182A"/>
    <w:rsid w:val="2372182A"/>
    <w:rsid w:val="3EBA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Arial Unicode MS" w:hAnsi="Arial Unicode MS" w:eastAsia="宋体" w:cs="Arial Unicode MS"/>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3">
    <w:name w:val="Body Text"/>
    <w:basedOn w:val="1"/>
    <w:qFormat/>
    <w:uiPriority w:val="0"/>
    <w:rPr>
      <w:rFonts w:cs="Times New Roman"/>
      <w:color w:val="9933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2516</Words>
  <Characters>2520</Characters>
  <Lines>0</Lines>
  <Paragraphs>0</Paragraphs>
  <TotalTime>0</TotalTime>
  <ScaleCrop>false</ScaleCrop>
  <LinksUpToDate>false</LinksUpToDate>
  <CharactersWithSpaces>3506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2025-05-09T06:35:00Z</dcterms:created>
  <dc:creator>Fu_______</dc:creator>
  <cp:lastModifiedBy>Fu_______</cp:lastModifiedBy>
  <dcterms:modified xsi:type="dcterms:W3CDTF">2025-05-12T02:05:34Z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CDEAC22C03794A3B80D29F2B5291E76F_11</vt:lpwstr>
  </property>
  <property fmtid="{D5CDD505-2E9C-101B-9397-08002B2CF9AE}" pid="4" name="KSOTemplateDocerSaveRecord">
    <vt:lpwstr>eyJoZGlkIjoiY2MwOWQxY2M2ODkyYTliOWYzM2Q5NDM4YTY1YTM2ZjciLCJ1c2VySWQiOiI3NDA5MTM0MjcifQ==</vt:lpwstr>
  </property>
</Properties>
</file>