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版本号：ZX2025-03-5720250513001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F2等级大砝码标准装置采购项目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ZX2025-03-57</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F2等级大砝码标准装置采购项目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ZX2025-03-57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F2等级大砝码标准装置采购项目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本次采购F2等级大砝码标准装置，具体内容及要求详见技术参数及性能指标。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采购包1（F2等级大砝码标准装置采购项目）：属于专门面向中小企业采购。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向采购人缴纳合同金额的5%作为履约保证金，中标人自主选择以银行转账、支票、汇票、本票、保函等非现金形式缴纳或提交保证金。最终验收合格后，采购人根据中标人履约情况，无息退还中标人履约保证金。 2.转账账号：中标后提供。 3.逾期退还履约保证金责任：按照采购人内控制度执行。采购人根据中标人履约情况，无息退还中标人履约保证金。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本次采购F2等级大砝码标准装置，具体内容及要求详见技术参数及性能指标。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765,000.00</w:t>
      </w:r>
    </w:p>
    <w:p>
      <w:pPr>
        <w:pStyle w:val="null3"/>
      </w:pPr>
      <w:r>
        <w:rPr>
          <w:rFonts w:ascii="仿宋_GB2312" w:hAnsi="仿宋_GB2312" w:cs="仿宋_GB2312" w:eastAsia="仿宋_GB2312"/>
        </w:rPr>
        <w:t>采购包最高限价（元）: 765,000.00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F2等级大砝码标准装置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标的名称：F2等级大砝码标准装置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质量比较仪 一套</w:t>
            </w:r>
          </w:p>
          <w:p>
            <w:pPr>
              <w:pStyle w:val="null3"/>
            </w:pPr>
            <w:r>
              <w:rPr>
                <w:rFonts w:ascii="仿宋_GB2312" w:hAnsi="仿宋_GB2312" w:cs="仿宋_GB2312" w:eastAsia="仿宋_GB2312"/>
              </w:rPr>
              <w:t>技术参数要求:</w:t>
            </w:r>
          </w:p>
          <w:p>
            <w:pPr>
              <w:pStyle w:val="null3"/>
            </w:pPr>
            <w:r>
              <w:rPr>
                <w:rFonts w:ascii="仿宋_GB2312" w:hAnsi="仿宋_GB2312" w:cs="仿宋_GB2312" w:eastAsia="仿宋_GB2312"/>
              </w:rPr>
              <w:t xml:space="preserve">★1.电子称量范围：≥1000kg。    </w:t>
            </w:r>
          </w:p>
          <w:p>
            <w:pPr>
              <w:pStyle w:val="null3"/>
            </w:pPr>
            <w:r>
              <w:rPr>
                <w:rFonts w:ascii="仿宋_GB2312" w:hAnsi="仿宋_GB2312" w:cs="仿宋_GB2312" w:eastAsia="仿宋_GB2312"/>
              </w:rPr>
              <w:t xml:space="preserve">★2.可读性：≤1g。     </w:t>
            </w:r>
          </w:p>
          <w:p>
            <w:pPr>
              <w:pStyle w:val="null3"/>
            </w:pPr>
            <w:r>
              <w:rPr>
                <w:rFonts w:ascii="仿宋_GB2312" w:hAnsi="仿宋_GB2312" w:cs="仿宋_GB2312" w:eastAsia="仿宋_GB2312"/>
              </w:rPr>
              <w:t xml:space="preserve">★3.重复性：≤3g。  </w:t>
            </w:r>
          </w:p>
          <w:p>
            <w:pPr>
              <w:pStyle w:val="null3"/>
            </w:pPr>
            <w:r>
              <w:rPr>
                <w:rFonts w:ascii="仿宋_GB2312" w:hAnsi="仿宋_GB2312" w:cs="仿宋_GB2312" w:eastAsia="仿宋_GB2312"/>
              </w:rPr>
              <w:t>4.电磁力传感器或应变片传感器。</w:t>
            </w:r>
          </w:p>
          <w:p>
            <w:pPr>
              <w:pStyle w:val="null3"/>
            </w:pPr>
            <w:r>
              <w:rPr>
                <w:rFonts w:ascii="仿宋_GB2312" w:hAnsi="仿宋_GB2312" w:cs="仿宋_GB2312" w:eastAsia="仿宋_GB2312"/>
              </w:rPr>
              <w:t xml:space="preserve">★5.典型重复性：≤2g。   </w:t>
            </w:r>
          </w:p>
          <w:p>
            <w:pPr>
              <w:pStyle w:val="null3"/>
            </w:pPr>
            <w:r>
              <w:rPr>
                <w:rFonts w:ascii="仿宋_GB2312" w:hAnsi="仿宋_GB2312" w:cs="仿宋_GB2312" w:eastAsia="仿宋_GB2312"/>
              </w:rPr>
              <w:t xml:space="preserve">6.线性：≤12g。    </w:t>
            </w:r>
          </w:p>
          <w:p>
            <w:pPr>
              <w:pStyle w:val="null3"/>
            </w:pPr>
            <w:r>
              <w:rPr>
                <w:rFonts w:ascii="仿宋_GB2312" w:hAnsi="仿宋_GB2312" w:cs="仿宋_GB2312" w:eastAsia="仿宋_GB2312"/>
              </w:rPr>
              <w:t xml:space="preserve">7.稳定时间：≤30s。     </w:t>
            </w:r>
          </w:p>
          <w:p>
            <w:pPr>
              <w:pStyle w:val="null3"/>
            </w:pPr>
            <w:r>
              <w:rPr>
                <w:rFonts w:ascii="仿宋_GB2312" w:hAnsi="仿宋_GB2312" w:cs="仿宋_GB2312" w:eastAsia="仿宋_GB2312"/>
              </w:rPr>
              <w:t xml:space="preserve">8.秤台：不锈钢、耐腐蚀。  </w:t>
            </w:r>
          </w:p>
          <w:p>
            <w:pPr>
              <w:pStyle w:val="null3"/>
            </w:pPr>
            <w:r>
              <w:rPr>
                <w:rFonts w:ascii="仿宋_GB2312" w:hAnsi="仿宋_GB2312" w:cs="仿宋_GB2312" w:eastAsia="仿宋_GB2312"/>
              </w:rPr>
              <w:t xml:space="preserve">9.含校准费用。    </w:t>
            </w:r>
          </w:p>
          <w:p>
            <w:pPr>
              <w:pStyle w:val="null3"/>
            </w:pPr>
            <w:r>
              <w:rPr>
                <w:rFonts w:ascii="仿宋_GB2312" w:hAnsi="仿宋_GB2312" w:cs="仿宋_GB2312" w:eastAsia="仿宋_GB2312"/>
              </w:rPr>
              <w:t xml:space="preserve">10.含液晶显示单元。     </w:t>
            </w:r>
          </w:p>
          <w:p>
            <w:pPr>
              <w:pStyle w:val="null3"/>
            </w:pPr>
            <w:r>
              <w:rPr>
                <w:rFonts w:ascii="仿宋_GB2312" w:hAnsi="仿宋_GB2312" w:cs="仿宋_GB2312" w:eastAsia="仿宋_GB2312"/>
              </w:rPr>
              <w:t>11.提供培训服务。</w:t>
            </w:r>
          </w:p>
          <w:p>
            <w:pPr>
              <w:pStyle w:val="null3"/>
            </w:pPr>
            <w:r>
              <w:rPr>
                <w:rFonts w:ascii="仿宋_GB2312" w:hAnsi="仿宋_GB2312" w:cs="仿宋_GB2312" w:eastAsia="仿宋_GB2312"/>
              </w:rPr>
              <w:t>12.溯源至省级及以上依法设置计量技术机构（必须为社会公用计量标准），出具校准证书。</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标“★”项参数，不满足按无效文件处理；未标“★”项参数，不满足做扣分处理。除第11条参数外，其余参数需提供佐证材料，包括但不限于检测报告或产品说明书或官网截图或产品彩页或技术白皮书等，否则视为负偏离。佐证材料与技术响应与偏离表投标响应参数不一致，以佐证材料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自合同签订之日起90日历日内完成交付、安装及调试等交付工作 （中标人承诺的交货期优于招标文件要求的，按其承诺时间）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合同签订之后五个工作日内，中标人按采购人指定账户交纳合同总价款的5%作为履约保证金，履约保证金到账后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通过最终验收合格后（中标人必须开具符合采购人要求的全额发票给采购人），采购人根据供应商履约情况，无息退还供应商履约保证金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相关责任及费用，以及逾期交付的违约责任。 （2）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整改，包括更换或退货，并承担所有相关费用，以及逾期交付的违约责任。 （3）整机验收合格后，供应商提交经使用部门签字认可的培训记录（1份）、加盖公章的售后服务承诺书（3份），并填写《西安市市级单位政府采购合同履约验收单》（4份），方视为最终通过验收，最终验收合格之日起计算质保期。 （4）质保期内，若存在质量、服务问题，供应商应当按照投标文件中承诺的条款及时进行处理。 （5）若发现供应商弄虚作假，在招投标阶段故意或随意夸大所投产品技术参数、产品性能，或以国产产品冒充进口产品或提供贴牌产品的，供应商应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（6）履约验收标准：①合同文本 ②投标文件及澄清函、招标文件③国家和行业、企业制定的相应标准和规范④JJF 1326-2011《质量比较仪校准规范》、JJG 99-2022《砝码》等（所列规范标准如有更新，以最新规范标准执行。） ⑤产品清单（注明品名、数量、规格和原产地或生产厂家，包括部件）。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（1）包装：产品包装应采取防潮、防晒、防腐蚀、防震动及防止其他损坏的必要措施。供应商应承担由于其包装或防护措施不妥而引起的货物锈蚀、损坏和丢失等任何损失造成的责任或费用。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质保年限要求≥2年。 ①质保期内出现质量问题、发生故障、年稳定性不合格等情况，供应商应按采购人的要求更换或维修，响应时间≤2小时，产生的所有费用均有供应商承担。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⑤质保期到期前，由供应商对所供产品进行全面维护保养，确保设备处于正常运行状态。 ⑥质保期内若出现更换产品或主要部件的情况，应重新进行检定或校准并验收，产生的所有费用由供应商承担，质保期自验收合格之日起重新计算。 维保期：以中标投标人的投标文件为准。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1.所有产品根据需求配置终端配套设备，费用均包含在本项目报价中。 2.为顺利推进政府采购电子化交易平台应用工作，投标人需要在线提交所有通过电子化交易平台实施的政府采购项目的投标文件，同时，线下提交纸质投标文件贰份并密封。若电子投标文件与纸质投标文件不一致的，以电子投标文件为准；若正本和副本不符，以正本为准。线下递交文件时间：详见本项目招标公告文件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满足本招标文件中的实质性商务条款（交货时间、交货地点、质量保修范围和保修期、支付约定）要求的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所投产品技术参数完全符合、响应招标文件要求，没有负偏离计22分；参数每负偏离一项扣2.75分。 备注： 1.所投产品完全复制招标文件技术指标要求的，给予10分扣分，文字描述、国标、定制尺寸的技术指标除外。 2.除第11条参数，其余参数均需提供佐证材料，包括但不限于检测报告或产品说明书或官网截图或产品彩页或技术白皮书等，否则视为负偏离。佐证材料与技术响应与偏离表投标响应参数不一致，以佐证材料为准。 3.标“★”项参数，不满足按无效文件处理；未标“★”项参数，不满足做扣分处理。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项目实施人员构成、③进度安排。方案须全面，对评审内容中的各项要求描述详细；切合本项目实际情况，实施步骤清晰、合理。 方案完全满足项目需求，无瑕疵计9分； 方案存在1处瑕疵计8分； 方案存在2处瑕疵计7分； 方案存在3处瑕疵计6分； 方案存在4处瑕疵计5分； 方案存在5处瑕疵计4分； 方案存在6处瑕疵计3分； 方案存在7处瑕疵计2分； 方案存在8处瑕疵计1分； 方案存在9处及以上瑕疵或未提供计0分。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但不限于①安装环境测试、②设备安装校准及调试、③性能测试、④常见问题与应对措施。方案须全面，对评审内容中的各项要求描述详细；切合本项目实际情况，实施步骤清晰、合理。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6安装调试方案.docx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提供针对本项目的质量保证方案，包括但不限于①仪器设备使用性能、②产品使用寿命及效果、③质量保证措施。方案须全面，对评审内容中的各项要求描述详细；切合本项目实际情况，实施步骤清晰、合理。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投标人提供的质保期在满足招标文件基础要求（2年）的基础上，每增加1年计2分，满分6分。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计划，含培训计划表、地点、时间及培训对象人数等、②培训内容，含所提供产品的原理和技术性能、操作维护方法、安装调试、排除故障等、③培训效果分析。方案须全面，对评审内容中的各项要求描述详细；切合本项目实际情况，实施步骤清晰、合理。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服务范围及保障措施、②常规仪器保养和维护的日程安排及措施（有详细、贴合的产品保养及使用注意事项说明）、③售后服务人员配置情况（投标人明确针对本项目售后服务人员配置，提供人员配置清单）。方案须全面，对评审内容中的各项要求描述详细；切合本项目实际情况，具有针对性。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提供采购清单中所投产品合法来源渠道证明文件（包括但不限于销售协议或代理协议或原厂授权等），共2分。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详见附件：6安装调试方案.docx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详见附件：10供货渠道证明.docx</w:t>
      </w:r>
    </w:p>
    <w:p>
      <w:pPr>
        <w:pStyle w:val="null3"/>
        <w:ind w:firstLine="960"/>
      </w:pPr>
      <w:r>
        <w:rPr>
          <w:rFonts w:ascii="仿宋_GB2312" w:hAnsi="仿宋_GB2312" w:cs="仿宋_GB2312" w:eastAsia="仿宋_GB2312"/>
        </w:rPr>
        <w:t>详见附件：11业绩.docx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