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版本号：ZX2025-03-5820250513001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非自动衡器检定装置采购项目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ZX2025-03-58</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非自动衡器检定装置采购项目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ZX2025-03-58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非自动衡器检定装置采购项目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本项目为非自动衡器检定装置采购项目；1套，具体内容详见招标文件第三章。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采购包1（非自动衡器检定装置采购项目）：属于专门面向中小企业采购。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说明：1.交纳履约保证金时须注明项目编号及用途(履约保证金)。2.交纳形式为银行转账等非现金形式，投标人以银行、保险公司出具保函形式提交履约保证金的，采购单位不得拒收。 3.逾期退还履约保证金责任：按照采购人内控制度执行。采购人根据中标人履约情况，无息退还中标人履约保证金。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①合同文本； ②投标文件及澄清函、招标文件； ③国家和行业、企业制定的相应标准和规范； ④JJG 539-2016《数字指示秤》、JJG 99-2022《砝码》等（所列规范标准如有更新，以最新规范标准执行）。 ⑤产品清单（注明品名、数量、规格和原产地或生产厂家，包括部件）。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本项目为非自动衡器检定装置采购项目，1套，具体详见招标文件3.3技术要求。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1,157,000.00</w:t>
      </w:r>
    </w:p>
    <w:p>
      <w:pPr>
        <w:pStyle w:val="null3"/>
      </w:pPr>
      <w:r>
        <w:rPr>
          <w:rFonts w:ascii="仿宋_GB2312" w:hAnsi="仿宋_GB2312" w:cs="仿宋_GB2312" w:eastAsia="仿宋_GB2312"/>
        </w:rPr>
        <w:t>采购包最高限价（元）: 1,157,000.00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非自动衡器检定装置采购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标的名称：非自动衡器检定装置采购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数量（单位）</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非自动衡器检定装置采购</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（一）六轴计量检衡车，数量：1辆，整车质保一年，其中伸缩尾门质保3年</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▲1、牵引车（1辆）：柴油，国六，6×4牵引车，排量不小于13升，高顶双卧带空调，自动档变速箱，带液力缓速器，带有燃油加热。</w:t>
            </w:r>
          </w:p>
          <w:p>
            <w:pPr>
              <w:pStyle w:val="null3"/>
            </w:pPr>
            <w:r>
              <w:rPr>
                <w:rFonts w:ascii="仿宋_GB2312" w:hAnsi="仿宋_GB2312" w:cs="仿宋_GB2312" w:eastAsia="仿宋_GB2312"/>
              </w:rPr>
              <w:t>▲2、液压系统，伸缩尾门，无线遥控+手动操作等，承重≥7000kg；质保3年；</w:t>
            </w:r>
          </w:p>
          <w:p>
            <w:pPr>
              <w:pStyle w:val="null3"/>
            </w:pPr>
            <w:r>
              <w:rPr>
                <w:rFonts w:ascii="仿宋_GB2312" w:hAnsi="仿宋_GB2312" w:cs="仿宋_GB2312" w:eastAsia="仿宋_GB2312"/>
              </w:rPr>
              <w:t>3、砝码架（要求满足24吨砝码放置要求，方便叉车搬运），制作货箱、车架加固，叉车固定架1个；</w:t>
            </w:r>
          </w:p>
          <w:p>
            <w:pPr>
              <w:pStyle w:val="null3"/>
            </w:pPr>
            <w:r>
              <w:rPr>
                <w:rFonts w:ascii="仿宋_GB2312" w:hAnsi="仿宋_GB2312" w:cs="仿宋_GB2312" w:eastAsia="仿宋_GB2312"/>
              </w:rPr>
              <w:t>4、叉车：全柴发动机，柴油，3.8吨起重能力，满足货箱叉运高度。带有驾驶室，暖风机，折叠货叉，液压调距、侧移货叉（整车质保一年）</w:t>
            </w:r>
          </w:p>
          <w:p>
            <w:pPr>
              <w:pStyle w:val="null3"/>
            </w:pPr>
            <w:r>
              <w:rPr>
                <w:rFonts w:ascii="仿宋_GB2312" w:hAnsi="仿宋_GB2312" w:cs="仿宋_GB2312" w:eastAsia="仿宋_GB2312"/>
              </w:rPr>
              <w:t>5、半挂车：计量检衡半挂车，空气悬挂，钢制骨架，电动遥控卷帘门（或手动侧滑门），工具放置箱2个，铝合金侧防护装置，砝码固定装置，叉车固定装置；可装24吨砝码，有挂车、牵引车备胎架各一个，安装有备胎1个。顶部带有200W太阳能电池板1个，带有12V，250AH蓄电池2个，带有5000W24V转220V逆变器一个，可用市电给蓄电池充电，配置充电线长20米。牵引车取电，取电线不小于5米。</w:t>
            </w:r>
          </w:p>
          <w:p>
            <w:pPr>
              <w:pStyle w:val="null3"/>
            </w:pPr>
            <w:r>
              <w:rPr>
                <w:rFonts w:ascii="仿宋_GB2312" w:hAnsi="仿宋_GB2312" w:cs="仿宋_GB2312" w:eastAsia="仿宋_GB2312"/>
              </w:rPr>
              <w:t>6、完成车辆上牌等手续（购置税、交强险、车船税、商业险{车损、三者200万、车上人员座位险}）、检车费、工本费等。</w:t>
            </w:r>
          </w:p>
          <w:p>
            <w:pPr>
              <w:pStyle w:val="null3"/>
            </w:pPr>
            <w:r>
              <w:rPr>
                <w:rFonts w:ascii="仿宋_GB2312" w:hAnsi="仿宋_GB2312" w:cs="仿宋_GB2312" w:eastAsia="仿宋_GB2312"/>
              </w:rPr>
              <w:t>（二）M1等级砝码，1000kg/个，带叉车孔，方形结构，材质为铸铁，密度:7.1g/cm3；数量：30个；符合JJG 99-2022《砝码检定规程》（所列规范标准如有更新，以最新规范标准执行），溯源至省级及以上依法设置计量技术机构（必须为社会公用计量标准），出具检定证书。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自合同签订之日起90日历日内完成交付、安装及调试等交付工作 （中标人承诺的交货期优于招标文件要求的，按其承诺时间）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合同签订之后5个工作日内，投标人按采购人指定账户交纳合同总价款的5%作为履约保证金；履约保证金到账后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通过最终验收合格后（中标人必须开具符合采购人要求的全额发票给采购人），采购人根据供应商履约情况，无息退还供应商履约保证金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设备到达采购人指定地点后，投标人应提供产品（包括部件、附件）清单，由采购人使用部门、投标人共同进行初步验收。初步验收主要对所供设备及所有部件的外观、生产商、型号、规格、数量及证书报告根据招标文件、投标人的投标文件等进行检查，确认是否符合初步验收标准。所验设备或部件不符合初步验收标准时，不得进行安装，投标人必须更换或退货，并承担所有相关责任及费用，以及逾期交付的违约责任。 （2）整机验收：设备安装、调试、检定完毕后，投标人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投标人向采购人移交所有技术资料。所验产品达不到验收标准的，或在使用中发现采购人不能容忍的缺陷等，将视为验收不合格，投标人应按采购人的要求及规定的时间内无条件整改，包括更换或退货，并承担所有相关费用，以及逾期交付的违约责任。 （3）整机验收合格后，投标人提交经使用部门签字认可的培训记录（1份）、加盖公章的售后服务承诺书（3份），并填写《西安市市级单位政府采购合同履约验收单》（4份），方视为最终通过验收，最终验收合格之日起计算质保期。 （4）质保期内，若存在质量、服务问题，投标人应当按照投标文件中承诺的条款及时进行处理。 （5）若发现投标人弄虚作假，在招投标阶段故意或随意夸大所投产品技术参数、产品性能，或以国产产品冒充进口产品或提供贴牌产品的，投标人应无条件退货，采购方有权单方解除本合同，投标人赔偿采购人所有的损失。投标人提供的溯源证书必须真实、有效，并承担因证书不实引发的一切法律责任。同时，采购人有权将投标人违法违规情况向西安市政府采购监督部门通报，并由其依法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（1）包装：产品包装应采取防潮、防晒、防腐蚀、防震动及防止其他损坏的必要措施。投标人应承担由于其包装或防护措施不妥而引起的货物锈蚀、损坏和丢失等任何损失造成的责任或费用。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①质保期内出现质量问题、发生故障、年稳定性不合格等情况，投标人应按采购人的要求更换或维修，响应时间≤2小时，产生的所有费用均有投标人承担。 ②若采购人认为故障不能远程解决时，维修工程师抵达现场时间≤12小时。 ③若故障在24小时内无法排除时，投标人必须向采购人提供书面报告，包括故障原因及分析、处理措施、解决时间。 ④若解决故障时间超过48小时，采购人有权自行委托第三方进行维修，所产生的费用由投标人承担。 ⑤质保期到期前，由投标人对所供产品进行全面维护保养，确保设备处于正常运行状态。 ⑥质保期内若出现更换产品或主要部件的情况，应重新进行检定或校准并验收，产生的所有费用由投标人承担，质保期自验收合格之日起重新计算。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如因投标人责任而造成延期交货，采购人可在合同未付款中直接扣除延期交货的违约金，每延期交货一天按合同总价款的1%向采购人支付违约金，该违约金由采购人在应支付货款中直接扣除，投标人对此无任何异议。 ②如整机验收不合格，且投标人在规定的整改期内仍达不到验收标准的，视为投标人延期交货，采购人可在合同未付款中直接扣除延期交货违约金，每延期一天按合同总价款的1%扣除；同时，投标人应向采购人重新更换和投标文件一致的同生产厂家、同品牌、同型号、同规格的全新产品。 ③其他内容按招标文件、投标文件及合同约定执行。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1.所有产品根据需求配置终端配套设备，费用均包含在本项目报价中。 2.为顺利推进政府采购电子化交易平台应用工作，投标人需要在线提交所有通过电子化交易平台实施的政府采购项目的响应文件，同时，线下提交纸质版投标文件贰套。若线上电子投标文件与纸质投标文件不一致的，以线上电子投标文件为准。线下递交文件时间：详见本项目招标公告提交投标文件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投标人资格证明文件.docx 标的清单 投标文件封面 技术响应与偏离表.docx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总报价未超过招标文件中规定的项目预算金额或最高限价的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履约担保函及公章授权书(若有).docx 技术响应与偏离表.docx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所投产品技术参数完全符合、响应招标文件要求，没有负偏离计27分；“▲”为重要参数，每负偏离一项扣6分；非“▲”参数每负偏离一项扣3分。 备注： 1.所有产品技术参数完全复制招标文件技术指标要求的，给予10分扣分，文字描述、国标、定制尺寸的技术指标除外。 2.投标人须提供各参数的佐证材料，包括但不限于检测报告或产品说明书或官网截图或产品彩页或技术白皮书等。佐证材料与技术响应与偏离表投标响应参数不一致，以佐证材料为准。未提供佐证材料不计分。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⑤验收方案等；就其方案是否完整全面、合理科学及措施得当，能否保质保量完成项目实施进行计分。 方案完全满足项目需求，无瑕疵计5分； 方案存在1处瑕疵计4分； 方案存在2处瑕疵计3分； 方案存在3处瑕疵计2分； 方案存在4处瑕疵计1分； 方案存在5处及以上瑕疵或未提供计0分。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等。根据方案是否完整、合理、详细，是否针对实施过程中的重难点问题提出相应的解决措施进行计分。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2安装调试方案.docx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产品选型及配置完全满足项目需求，无瑕疵计5分； 产品选型及配置存在1处瑕疵计4分； 产品选型及配置存在2处瑕疵计3分； 产品选型及配置存在3处瑕疵计2分； 产品选型及配置存在4处瑕疵计1分； 产品选型及配置存在5处及以上瑕疵或未提供计0分。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3产品选型及配置.docx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质量保证内容完全满足项目需求，无瑕疵计6分；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厂商培训班名额等），②培训内容（设备原理和技术性能、仪器操作、仪器维护、故障排除等），③培训效果；根据培训方案是否完整、详细，能否实际保证培训效果进行计分。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方案完全满足项目需求，无瑕疵计4分； 方案存在1处瑕疵计3分； 方案存在2处瑕疵计2分； 方案存在3处瑕疵计1分； 方案存在4处及以上瑕疵或未提供计0分。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投标人提供的整车质保期在满足招标文件基础要求（1年）的基础上，再增加1年计3分，满分3分。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7质保期.docx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提供本项目整车的合法来源渠道证明文件（包括但不限于销售协议或代理协议或原厂授权等），提供计4分；未提供不计分。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详见附件：履约担保函及公章授权书(若有).docx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详见附件：1实施方案.docx</w:t>
      </w:r>
    </w:p>
    <w:p>
      <w:pPr>
        <w:pStyle w:val="null3"/>
        <w:ind w:firstLine="960"/>
      </w:pPr>
      <w:r>
        <w:rPr>
          <w:rFonts w:ascii="仿宋_GB2312" w:hAnsi="仿宋_GB2312" w:cs="仿宋_GB2312" w:eastAsia="仿宋_GB2312"/>
        </w:rPr>
        <w:t>详见附件：2安装调试方案.docx</w:t>
      </w:r>
    </w:p>
    <w:p>
      <w:pPr>
        <w:pStyle w:val="null3"/>
        <w:ind w:firstLine="960"/>
      </w:pPr>
      <w:r>
        <w:rPr>
          <w:rFonts w:ascii="仿宋_GB2312" w:hAnsi="仿宋_GB2312" w:cs="仿宋_GB2312" w:eastAsia="仿宋_GB2312"/>
        </w:rPr>
        <w:t>详见附件：3产品选型及配置.docx</w:t>
      </w:r>
    </w:p>
    <w:p>
      <w:pPr>
        <w:pStyle w:val="null3"/>
        <w:ind w:firstLine="960"/>
      </w:pPr>
      <w:r>
        <w:rPr>
          <w:rFonts w:ascii="仿宋_GB2312" w:hAnsi="仿宋_GB2312" w:cs="仿宋_GB2312" w:eastAsia="仿宋_GB2312"/>
        </w:rPr>
        <w:t>详见附件：4质量保证.docx</w:t>
      </w:r>
    </w:p>
    <w:p>
      <w:pPr>
        <w:pStyle w:val="null3"/>
        <w:ind w:firstLine="960"/>
      </w:pPr>
      <w:r>
        <w:rPr>
          <w:rFonts w:ascii="仿宋_GB2312" w:hAnsi="仿宋_GB2312" w:cs="仿宋_GB2312" w:eastAsia="仿宋_GB2312"/>
        </w:rPr>
        <w:t>详见附件：5培训方案.docx</w:t>
      </w:r>
    </w:p>
    <w:p>
      <w:pPr>
        <w:pStyle w:val="null3"/>
        <w:ind w:firstLine="960"/>
      </w:pPr>
      <w:r>
        <w:rPr>
          <w:rFonts w:ascii="仿宋_GB2312" w:hAnsi="仿宋_GB2312" w:cs="仿宋_GB2312" w:eastAsia="仿宋_GB2312"/>
        </w:rPr>
        <w:t>详见附件：6售后服务方案.docx</w:t>
      </w:r>
    </w:p>
    <w:p>
      <w:pPr>
        <w:pStyle w:val="null3"/>
        <w:ind w:firstLine="960"/>
      </w:pPr>
      <w:r>
        <w:rPr>
          <w:rFonts w:ascii="仿宋_GB2312" w:hAnsi="仿宋_GB2312" w:cs="仿宋_GB2312" w:eastAsia="仿宋_GB2312"/>
        </w:rPr>
        <w:t>详见附件：7质保期.docx</w:t>
      </w:r>
    </w:p>
    <w:p>
      <w:pPr>
        <w:pStyle w:val="null3"/>
        <w:ind w:firstLine="960"/>
      </w:pPr>
      <w:r>
        <w:rPr>
          <w:rFonts w:ascii="仿宋_GB2312" w:hAnsi="仿宋_GB2312" w:cs="仿宋_GB2312" w:eastAsia="仿宋_GB2312"/>
        </w:rPr>
        <w:t>详见附件：8供货渠道证明.docx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详见附件：10节能环保.docx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