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08172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0" w:lineRule="atLeast"/>
        <w:ind w:left="0" w:right="0" w:firstLine="0"/>
        <w:jc w:val="center"/>
        <w:rPr>
          <w:rFonts w:hint="eastAsia" w:ascii="仿宋" w:hAnsi="仿宋" w:eastAsia="仿宋" w:cs="仿宋"/>
          <w:b w:val="0"/>
          <w:bCs/>
          <w:i w:val="0"/>
          <w:caps w:val="0"/>
          <w:color w:val="333333"/>
          <w:spacing w:val="0"/>
          <w:sz w:val="44"/>
          <w:szCs w:val="44"/>
        </w:rPr>
      </w:pPr>
      <w:r>
        <w:rPr>
          <w:rFonts w:hint="eastAsia" w:ascii="仿宋" w:hAnsi="仿宋" w:eastAsia="仿宋" w:cs="仿宋"/>
          <w:b w:val="0"/>
          <w:bCs/>
          <w:i w:val="0"/>
          <w:caps w:val="0"/>
          <w:color w:val="333333"/>
          <w:spacing w:val="0"/>
          <w:sz w:val="44"/>
          <w:szCs w:val="44"/>
          <w:shd w:val="clear" w:color="auto" w:fill="FFFFFF"/>
        </w:rPr>
        <w:t>政府采购项目采购需求</w:t>
      </w:r>
    </w:p>
    <w:p w14:paraId="1CDB993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0" w:lineRule="atLeast"/>
        <w:ind w:left="0" w:right="0" w:firstLine="0"/>
        <w:jc w:val="both"/>
        <w:rPr>
          <w:rFonts w:hint="eastAsia" w:ascii="仿宋" w:hAnsi="仿宋" w:eastAsia="仿宋" w:cs="仿宋"/>
          <w:b w:val="0"/>
          <w:bCs/>
          <w:i w:val="0"/>
          <w:caps w:val="0"/>
          <w:color w:val="333333"/>
          <w:spacing w:val="0"/>
          <w:sz w:val="32"/>
          <w:szCs w:val="32"/>
        </w:rPr>
      </w:pPr>
      <w:r>
        <w:rPr>
          <w:rFonts w:hint="eastAsia" w:ascii="仿宋" w:hAnsi="仿宋" w:eastAsia="仿宋" w:cs="仿宋"/>
          <w:b w:val="0"/>
          <w:bCs/>
          <w:i w:val="0"/>
          <w:caps w:val="0"/>
          <w:color w:val="333333"/>
          <w:spacing w:val="0"/>
          <w:sz w:val="32"/>
          <w:szCs w:val="32"/>
          <w:shd w:val="clear" w:color="auto" w:fill="FFFFFF"/>
        </w:rPr>
        <w:t>一、项目总体情况</w:t>
      </w:r>
    </w:p>
    <w:p w14:paraId="34180CC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8" w:lineRule="atLeast"/>
        <w:ind w:left="0" w:right="0" w:firstLine="420"/>
        <w:jc w:val="both"/>
        <w:rPr>
          <w:rFonts w:hint="default" w:ascii="Times New Roman" w:hAnsi="Times New Roman" w:eastAsia="仿宋_GB2312" w:cs="Times New Roman"/>
          <w:i w:val="0"/>
          <w:caps w:val="0"/>
          <w:color w:val="0000FF"/>
          <w:spacing w:val="0"/>
          <w:sz w:val="32"/>
          <w:szCs w:val="32"/>
          <w:shd w:val="clear" w:color="auto" w:fill="auto"/>
          <w:lang w:val="en-US" w:eastAsia="zh-CN"/>
        </w:rPr>
      </w:pPr>
      <w:r>
        <w:rPr>
          <w:rFonts w:hint="eastAsia" w:ascii="仿宋" w:hAnsi="仿宋" w:eastAsia="仿宋" w:cs="仿宋"/>
          <w:i w:val="0"/>
          <w:caps w:val="0"/>
          <w:color w:val="333333"/>
          <w:spacing w:val="0"/>
          <w:sz w:val="32"/>
          <w:szCs w:val="32"/>
          <w:shd w:val="clear" w:color="auto" w:fill="FFFFFF"/>
        </w:rPr>
        <w:t>（一）项目名称：</w:t>
      </w:r>
      <w:r>
        <w:rPr>
          <w:rFonts w:hint="default" w:ascii="Times New Roman" w:hAnsi="Times New Roman" w:eastAsia="仿宋_GB2312" w:cs="Times New Roman"/>
          <w:i w:val="0"/>
          <w:caps w:val="0"/>
          <w:color w:val="0000FF"/>
          <w:spacing w:val="0"/>
          <w:sz w:val="32"/>
          <w:szCs w:val="32"/>
          <w:shd w:val="clear" w:color="auto" w:fill="auto"/>
          <w:lang w:val="en-US" w:eastAsia="zh-CN"/>
        </w:rPr>
        <w:t>西安市202</w:t>
      </w:r>
      <w:r>
        <w:rPr>
          <w:rFonts w:hint="eastAsia" w:ascii="Times New Roman" w:hAnsi="Times New Roman" w:eastAsia="仿宋_GB2312" w:cs="Times New Roman"/>
          <w:i w:val="0"/>
          <w:caps w:val="0"/>
          <w:color w:val="0000FF"/>
          <w:spacing w:val="0"/>
          <w:sz w:val="32"/>
          <w:szCs w:val="32"/>
          <w:shd w:val="clear" w:color="auto" w:fill="auto"/>
          <w:lang w:val="en-US" w:eastAsia="zh-CN"/>
        </w:rPr>
        <w:t>5</w:t>
      </w:r>
      <w:r>
        <w:rPr>
          <w:rFonts w:hint="default" w:ascii="Times New Roman" w:hAnsi="Times New Roman" w:eastAsia="仿宋_GB2312" w:cs="Times New Roman"/>
          <w:i w:val="0"/>
          <w:caps w:val="0"/>
          <w:color w:val="0000FF"/>
          <w:spacing w:val="0"/>
          <w:sz w:val="32"/>
          <w:szCs w:val="32"/>
          <w:shd w:val="clear" w:color="auto" w:fill="auto"/>
          <w:lang w:val="en-US" w:eastAsia="zh-CN"/>
        </w:rPr>
        <w:t>年汛情研判项目</w:t>
      </w:r>
    </w:p>
    <w:p w14:paraId="5335D72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8" w:lineRule="atLeast"/>
        <w:ind w:left="0" w:right="0" w:firstLine="420"/>
        <w:jc w:val="both"/>
        <w:rPr>
          <w:rFonts w:hint="eastAsia" w:ascii="仿宋" w:hAnsi="仿宋" w:eastAsia="仿宋" w:cs="仿宋"/>
          <w:i w:val="0"/>
          <w:caps w:val="0"/>
          <w:color w:val="333333"/>
          <w:spacing w:val="0"/>
          <w:sz w:val="32"/>
          <w:szCs w:val="32"/>
          <w:lang w:val="en-US" w:eastAsia="zh-CN"/>
        </w:rPr>
      </w:pPr>
      <w:r>
        <w:rPr>
          <w:rFonts w:hint="eastAsia" w:ascii="仿宋" w:hAnsi="仿宋" w:eastAsia="仿宋" w:cs="仿宋"/>
          <w:i w:val="0"/>
          <w:caps w:val="0"/>
          <w:color w:val="333333"/>
          <w:spacing w:val="0"/>
          <w:sz w:val="32"/>
          <w:szCs w:val="32"/>
          <w:shd w:val="clear" w:color="auto" w:fill="FFFFFF"/>
        </w:rPr>
        <w:t>（二）项目所属年度：</w:t>
      </w:r>
      <w:r>
        <w:rPr>
          <w:rFonts w:hint="eastAsia" w:ascii="仿宋" w:hAnsi="仿宋" w:eastAsia="仿宋" w:cs="仿宋"/>
          <w:i w:val="0"/>
          <w:caps w:val="0"/>
          <w:color w:val="0000FF"/>
          <w:spacing w:val="0"/>
          <w:sz w:val="32"/>
          <w:szCs w:val="32"/>
          <w:shd w:val="clear" w:color="auto" w:fill="FFFFFF"/>
          <w:lang w:val="en-US" w:eastAsia="zh-CN"/>
        </w:rPr>
        <w:t>2025年度</w:t>
      </w:r>
    </w:p>
    <w:p w14:paraId="326BB45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8" w:lineRule="atLeast"/>
        <w:ind w:left="0" w:right="0" w:firstLine="420"/>
        <w:jc w:val="both"/>
        <w:rPr>
          <w:rFonts w:hint="eastAsia" w:ascii="仿宋" w:hAnsi="仿宋" w:eastAsia="仿宋" w:cs="仿宋"/>
          <w:i w:val="0"/>
          <w:caps w:val="0"/>
          <w:color w:val="333333"/>
          <w:spacing w:val="0"/>
          <w:sz w:val="32"/>
          <w:szCs w:val="32"/>
          <w:shd w:val="clear" w:color="auto" w:fill="FFFFFF"/>
          <w:lang w:val="en-US" w:eastAsia="zh-CN"/>
        </w:rPr>
      </w:pPr>
      <w:r>
        <w:rPr>
          <w:rFonts w:hint="eastAsia" w:ascii="仿宋" w:hAnsi="仿宋" w:eastAsia="仿宋" w:cs="仿宋"/>
          <w:i w:val="0"/>
          <w:caps w:val="0"/>
          <w:color w:val="333333"/>
          <w:spacing w:val="0"/>
          <w:sz w:val="32"/>
          <w:szCs w:val="32"/>
          <w:shd w:val="clear" w:color="auto" w:fill="FFFFFF"/>
        </w:rPr>
        <w:t>（三）项目所属分类：</w:t>
      </w:r>
      <w:r>
        <w:rPr>
          <w:rFonts w:hint="eastAsia" w:ascii="仿宋" w:hAnsi="仿宋" w:eastAsia="仿宋" w:cs="仿宋"/>
          <w:i w:val="0"/>
          <w:caps w:val="0"/>
          <w:color w:val="0000FF"/>
          <w:spacing w:val="0"/>
          <w:sz w:val="32"/>
          <w:szCs w:val="32"/>
          <w:shd w:val="clear" w:color="auto" w:fill="FFFFFF"/>
          <w:lang w:val="en-US" w:eastAsia="zh-CN"/>
        </w:rPr>
        <w:t>服务</w:t>
      </w:r>
    </w:p>
    <w:p w14:paraId="3EC05D2E">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6" w:lineRule="exact"/>
        <w:ind w:left="0" w:right="0" w:firstLine="420"/>
        <w:jc w:val="both"/>
        <w:textAlignment w:val="auto"/>
        <w:rPr>
          <w:rFonts w:hint="default" w:ascii="Times New Roman" w:hAnsi="Times New Roman" w:eastAsia="仿宋_GB2312" w:cs="Times New Roman"/>
          <w:i w:val="0"/>
          <w:caps w:val="0"/>
          <w:color w:val="333333"/>
          <w:spacing w:val="0"/>
          <w:sz w:val="32"/>
          <w:szCs w:val="32"/>
          <w:u w:val="single"/>
          <w:shd w:val="clear" w:color="auto" w:fill="auto"/>
          <w:lang w:val="en-US" w:eastAsia="zh-CN"/>
        </w:rPr>
      </w:pPr>
      <w:r>
        <w:rPr>
          <w:rFonts w:hint="eastAsia" w:ascii="仿宋" w:hAnsi="仿宋" w:eastAsia="仿宋" w:cs="仿宋"/>
          <w:i w:val="0"/>
          <w:caps w:val="0"/>
          <w:color w:val="333333"/>
          <w:spacing w:val="0"/>
          <w:sz w:val="32"/>
          <w:szCs w:val="32"/>
          <w:shd w:val="clear" w:color="auto" w:fill="FFFFFF"/>
        </w:rPr>
        <w:t>（四）预算金额：</w:t>
      </w:r>
      <w:r>
        <w:rPr>
          <w:rFonts w:hint="eastAsia" w:ascii="仿宋" w:hAnsi="仿宋" w:eastAsia="仿宋" w:cs="仿宋"/>
          <w:i w:val="0"/>
          <w:caps w:val="0"/>
          <w:color w:val="0000FF"/>
          <w:spacing w:val="0"/>
          <w:sz w:val="32"/>
          <w:szCs w:val="32"/>
          <w:shd w:val="clear" w:color="auto" w:fill="FFFFFF"/>
          <w:lang w:val="en-US" w:eastAsia="zh-CN"/>
        </w:rPr>
        <w:t>150000.00元</w:t>
      </w:r>
      <w:r>
        <w:rPr>
          <w:rFonts w:hint="eastAsia" w:ascii="仿宋" w:hAnsi="仿宋" w:eastAsia="仿宋" w:cs="仿宋"/>
          <w:i w:val="0"/>
          <w:caps w:val="0"/>
          <w:color w:val="333333"/>
          <w:spacing w:val="0"/>
          <w:sz w:val="32"/>
          <w:szCs w:val="32"/>
          <w:shd w:val="clear" w:color="auto" w:fill="FFFFFF"/>
        </w:rPr>
        <w:t xml:space="preserve"> ，大写（人民币）：</w:t>
      </w:r>
      <w:r>
        <w:rPr>
          <w:rFonts w:hint="eastAsia" w:ascii="Times New Roman" w:hAnsi="Times New Roman" w:eastAsia="仿宋_GB2312" w:cs="Times New Roman"/>
          <w:i w:val="0"/>
          <w:caps w:val="0"/>
          <w:color w:val="0000FF"/>
          <w:spacing w:val="0"/>
          <w:sz w:val="32"/>
          <w:szCs w:val="32"/>
          <w:u w:val="single"/>
          <w:shd w:val="clear" w:color="auto" w:fill="auto"/>
          <w:lang w:val="en-US" w:eastAsia="zh-CN"/>
        </w:rPr>
        <w:t>壹拾伍万元</w:t>
      </w:r>
      <w:r>
        <w:rPr>
          <w:rFonts w:hint="default" w:ascii="Times New Roman" w:hAnsi="Times New Roman" w:eastAsia="仿宋_GB2312" w:cs="Times New Roman"/>
          <w:i w:val="0"/>
          <w:caps w:val="0"/>
          <w:color w:val="0000FF"/>
          <w:spacing w:val="0"/>
          <w:sz w:val="32"/>
          <w:szCs w:val="32"/>
          <w:u w:val="single"/>
          <w:shd w:val="clear" w:color="auto" w:fill="auto"/>
          <w:lang w:val="en-US" w:eastAsia="zh-CN"/>
        </w:rPr>
        <w:t xml:space="preserve">整 </w:t>
      </w:r>
    </w:p>
    <w:p w14:paraId="2F6553C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8" w:lineRule="atLeast"/>
        <w:ind w:left="0" w:right="0" w:firstLine="420"/>
        <w:jc w:val="both"/>
        <w:rPr>
          <w:rFonts w:hint="eastAsia" w:ascii="仿宋" w:hAnsi="仿宋" w:eastAsia="仿宋" w:cs="仿宋"/>
          <w:i w:val="0"/>
          <w:caps w:val="0"/>
          <w:color w:val="333333"/>
          <w:spacing w:val="0"/>
          <w:sz w:val="32"/>
          <w:szCs w:val="32"/>
          <w:shd w:val="clear" w:color="auto" w:fill="FFFFFF"/>
        </w:rPr>
      </w:pPr>
      <w:r>
        <w:rPr>
          <w:rFonts w:hint="eastAsia" w:ascii="仿宋" w:hAnsi="仿宋" w:eastAsia="仿宋" w:cs="仿宋"/>
          <w:i w:val="0"/>
          <w:caps w:val="0"/>
          <w:color w:val="333333"/>
          <w:spacing w:val="0"/>
          <w:sz w:val="32"/>
          <w:szCs w:val="32"/>
          <w:shd w:val="clear" w:color="auto" w:fill="FFFFFF"/>
        </w:rPr>
        <w:t>（五）项目概况：</w:t>
      </w:r>
    </w:p>
    <w:p w14:paraId="2396D0BC">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6" w:lineRule="exact"/>
        <w:ind w:right="0" w:firstLine="640" w:firstLineChars="200"/>
        <w:jc w:val="both"/>
        <w:textAlignment w:val="auto"/>
        <w:rPr>
          <w:rFonts w:hint="default" w:ascii="Times New Roman" w:hAnsi="Times New Roman" w:eastAsia="仿宋_GB2312" w:cs="Times New Roman"/>
          <w:i w:val="0"/>
          <w:caps w:val="0"/>
          <w:color w:val="0000FF"/>
          <w:spacing w:val="0"/>
          <w:sz w:val="32"/>
          <w:szCs w:val="32"/>
          <w:u w:val="single"/>
          <w:shd w:val="clear" w:color="auto" w:fill="auto"/>
          <w:lang w:val="en-US" w:eastAsia="zh-CN"/>
        </w:rPr>
      </w:pPr>
      <w:r>
        <w:rPr>
          <w:rFonts w:hint="default" w:ascii="Times New Roman" w:hAnsi="Times New Roman" w:eastAsia="仿宋_GB2312" w:cs="Times New Roman"/>
          <w:i w:val="0"/>
          <w:caps w:val="0"/>
          <w:color w:val="0000FF"/>
          <w:spacing w:val="0"/>
          <w:sz w:val="32"/>
          <w:szCs w:val="32"/>
          <w:u w:val="single"/>
          <w:shd w:val="clear" w:color="auto" w:fill="auto"/>
          <w:lang w:val="en-US" w:eastAsia="zh-CN"/>
        </w:rPr>
        <w:t>洪涝灾害是城市面临发生频率高、危害范围广、对国民经济影响最为严重的自然灾害之一。开展汛情研判项目，是预防城市洪涝灾害的手段</w:t>
      </w:r>
      <w:r>
        <w:rPr>
          <w:rFonts w:hint="eastAsia" w:ascii="Times New Roman" w:hAnsi="Times New Roman" w:eastAsia="仿宋_GB2312" w:cs="Times New Roman"/>
          <w:i w:val="0"/>
          <w:caps w:val="0"/>
          <w:color w:val="0000FF"/>
          <w:spacing w:val="0"/>
          <w:sz w:val="32"/>
          <w:szCs w:val="32"/>
          <w:u w:val="single"/>
          <w:shd w:val="clear" w:color="auto" w:fill="auto"/>
          <w:lang w:val="en-US" w:eastAsia="zh-CN"/>
        </w:rPr>
        <w:t>之一</w:t>
      </w:r>
      <w:r>
        <w:rPr>
          <w:rFonts w:hint="default" w:ascii="Times New Roman" w:hAnsi="Times New Roman" w:eastAsia="仿宋_GB2312" w:cs="Times New Roman"/>
          <w:i w:val="0"/>
          <w:caps w:val="0"/>
          <w:color w:val="0000FF"/>
          <w:spacing w:val="0"/>
          <w:sz w:val="32"/>
          <w:szCs w:val="32"/>
          <w:u w:val="single"/>
          <w:shd w:val="clear" w:color="auto" w:fill="auto"/>
          <w:lang w:val="en-US" w:eastAsia="zh-CN"/>
        </w:rPr>
        <w:t>，可为西安市洪涝灾害预测预报以及防灾减灾工作提供一定的参考依据。</w:t>
      </w:r>
    </w:p>
    <w:p w14:paraId="4A44FFAE">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76" w:lineRule="exact"/>
        <w:ind w:right="0" w:firstLine="640" w:firstLineChars="200"/>
        <w:jc w:val="both"/>
        <w:textAlignment w:val="auto"/>
        <w:rPr>
          <w:rFonts w:hint="default" w:ascii="Times New Roman" w:hAnsi="Times New Roman" w:eastAsia="仿宋_GB2312" w:cs="Times New Roman"/>
          <w:i w:val="0"/>
          <w:caps w:val="0"/>
          <w:color w:val="0000FF"/>
          <w:spacing w:val="0"/>
          <w:sz w:val="32"/>
          <w:szCs w:val="32"/>
          <w:u w:val="single"/>
          <w:shd w:val="clear" w:color="auto" w:fill="auto"/>
          <w:lang w:val="en-US" w:eastAsia="zh-CN"/>
        </w:rPr>
      </w:pPr>
      <w:r>
        <w:rPr>
          <w:rFonts w:hint="eastAsia" w:ascii="Times New Roman" w:hAnsi="Times New Roman" w:eastAsia="仿宋_GB2312" w:cs="Times New Roman"/>
          <w:i w:val="0"/>
          <w:caps w:val="0"/>
          <w:color w:val="0000FF"/>
          <w:spacing w:val="0"/>
          <w:sz w:val="32"/>
          <w:szCs w:val="32"/>
          <w:u w:val="single"/>
          <w:shd w:val="clear" w:color="auto" w:fill="auto"/>
          <w:lang w:val="en-US" w:eastAsia="zh-CN"/>
        </w:rPr>
        <w:t>汛期组织气象、水文、水务等部门及有关专家对2025年全市防汛形势进行分析研判，形成气候趋势预测、水情趋势预测、水库库情分析、城市内涝分析进而提出防汛工作重点，有针对性地督导各区县及开发区和职能部门夯实防汛责任，加强监测预警及时启动应急响应机制规避汛情险情，减少人财物损失。</w:t>
      </w:r>
    </w:p>
    <w:p w14:paraId="6FA1A678">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C06123"/>
    <w:rsid w:val="33C061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3"/>
    <w:basedOn w:val="1"/>
    <w:next w:val="1"/>
    <w:unhideWhenUsed/>
    <w:qFormat/>
    <w:uiPriority w:val="0"/>
    <w:pPr>
      <w:spacing w:before="100" w:beforeAutospacing="1" w:after="100" w:afterAutospacing="1"/>
      <w:jc w:val="left"/>
      <w:outlineLvl w:val="2"/>
    </w:pPr>
    <w:rPr>
      <w:rFonts w:hint="eastAsia" w:ascii="宋体" w:hAnsi="宋体" w:eastAsia="宋体" w:cs="宋体"/>
      <w:b/>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szCs w:val="22"/>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2025-05-12T08:13:00Z</dcterms:created>
  <dc:creator>*Iris.♉</dc:creator>
  <cp:lastModifiedBy>*Iris.♉</cp:lastModifiedBy>
  <dcterms:modified xsi:type="dcterms:W3CDTF">2025-05-12T08:13:55Z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E030E616052A4BFDA36BEE7DE46B2FB3_11</vt:lpwstr>
  </property>
  <property fmtid="{D5CDD505-2E9C-101B-9397-08002B2CF9AE}" pid="4" name="KSOTemplateDocerSaveRecord">
    <vt:lpwstr>eyJoZGlkIjoiMTg5Y2NkZWZjMzBjMTViMzNhZGFlYjk5NDAxYmE5OGMiLCJ1c2VySWQiOiIyNDU1MDM4NjUifQ==</vt:lpwstr>
  </property>
</Properties>
</file>