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版本号：HTGH-2025-00920250512001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西安市2025年汛情研判项目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HTGH-2025-009</w:t>
      </w:r>
      <w:r>
        <w:br/>
      </w:r>
      <w:r>
        <w:br/>
      </w:r>
      <w:r>
        <w:br/>
      </w:r>
    </w:p>
    <w:p>
      <w:pPr>
        <w:pStyle w:val="null3"/>
        <w:jc w:val="center"/>
        <w:outlineLvl w:val="2"/>
      </w:pPr>
      <w:r>
        <w:rPr>
          <w:rFonts w:ascii="仿宋_GB2312" w:hAnsi="仿宋_GB2312" w:cs="仿宋_GB2312" w:eastAsia="仿宋_GB2312"/>
          <w:sz w:val="28"/>
          <w:b/>
        </w:rPr>
        <w:t>西安市应急管理局（本级）</w:t>
      </w:r>
    </w:p>
    <w:p>
      <w:pPr>
        <w:pStyle w:val="null3"/>
        <w:jc w:val="center"/>
        <w:outlineLvl w:val="2"/>
      </w:pPr>
      <w:r>
        <w:rPr>
          <w:rFonts w:ascii="仿宋_GB2312" w:hAnsi="仿宋_GB2312" w:cs="仿宋_GB2312" w:eastAsia="仿宋_GB2312"/>
          <w:sz w:val="28"/>
          <w:b/>
        </w:rPr>
        <w:t>陕西慧通广和项目管理有限公司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陕西慧通广和项目管理有限公司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西安市2025年汛情研判项目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HTGH-2025-009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西安市2025年汛情研判项目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洪涝灾害是城市面临发生频率高、危害范围广、对国民经济影响最为严重的自然灾害之一。开展汛情研判项目，是预防城市洪涝灾害的手段之一，可为西安市洪涝灾害预测预报以及防灾减灾工作提供一定的参考依据。 汛期组织气象、水文、水务等部门及有关专家对2025年全市防汛形势进行分析研判，形成气候趋势预测、水情趋势预测、水库库情分析、城市内涝分析进而提出防汛工作重点，有针对性地督导各区县及开发区和职能部门夯实防汛责任，加强监测预警及时启动应急响应机制规避汛情险情，减少人财物损失。</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采购包1（西安市2025年汛情研判项目）：属于专门面向中小企业采购。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rFonts w:ascii="仿宋_GB2312" w:hAnsi="仿宋_GB2312" w:cs="仿宋_GB2312" w:eastAsia="仿宋_GB2312"/>
        </w:rPr>
        <w:t>3、税收缴纳证明：提供2024年1月1日至今任意一个月已缴纳的纳税证明或完税证明（包含增值税、企业所得税、营业税至少一种）；（依法免税的供应商应提供相关文件证明）</w:t>
      </w:r>
    </w:p>
    <w:p>
      <w:pPr>
        <w:pStyle w:val="null3"/>
      </w:pPr>
      <w:r>
        <w:rPr>
          <w:rFonts w:ascii="仿宋_GB2312" w:hAnsi="仿宋_GB2312" w:cs="仿宋_GB2312" w:eastAsia="仿宋_GB2312"/>
        </w:rPr>
        <w:t>4、社保缴纳证明：社会保障资金缴纳证明：提供2024年1月1日至今任意区间内连续6个月的社保缴费凭据或社保机构开具的社会保险参保缴费情况证明；（成立不足6个月的，提供成立次月起至今社保缴纳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7、法定代表人授权书：法定代表人或负责人参与磋商时需提供法定代表人或负责人资格证明书（附法定代表人或负责人身份证复印件）； 被授权人参与磋商时需提供法定代表人或负责人授权委托书（附法定代表人或负责人及被授权人身份证复印件及被授权人在公司近一个月的社保缴纳证明）</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10、本项目专门面向中小企业采购：本项目专门面向中小企业采购；须符合《政府采购促进中小企业发展管理办法》（财库〔2020〕46号）规定的中小企业参加；(提供《中小企业声明函》）</w:t>
      </w:r>
    </w:p>
    <w:p>
      <w:pPr>
        <w:pStyle w:val="null3"/>
      </w:pPr>
      <w:r>
        <w:rPr>
          <w:rFonts w:ascii="仿宋_GB2312" w:hAnsi="仿宋_GB2312" w:cs="仿宋_GB2312" w:eastAsia="仿宋_GB2312"/>
        </w:rPr>
        <w:t>11、本项目不接受联合体磋商：本项目不接受联合体磋商；（提供非联合体声明，格式自拟加盖供应商公章）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029-86517339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陕西慧通广和项目管理有限公司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西安市未央区谭家街道渭滨路水晶新天地1单元1001室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029-86639287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向陕西慧通广和项目管理有限公司交纳定额招标服务费：伍仟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陕西慧通广和项目管理有限公司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西安市应急管理局（本级）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陕西慧通广和项目管理有限公司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陕西慧通广和项目管理有限公司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联系电话：029-86639287</w:t>
      </w:r>
    </w:p>
    <w:p>
      <w:pPr>
        <w:pStyle w:val="null3"/>
      </w:pPr>
      <w:r>
        <w:rPr>
          <w:rFonts w:ascii="仿宋_GB2312" w:hAnsi="仿宋_GB2312" w:cs="仿宋_GB2312" w:eastAsia="仿宋_GB2312"/>
        </w:rPr>
        <w:t>地址：西安市未央区谭家街道渭滨路水晶新天地1单元1001室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洪涝灾害是城市面临发生频率高、危害范围广、对国民经济影响最为严重的自然灾害之一。开展汛情研判项目，是预防城市洪涝灾害的手段之一，可为西安市洪涝灾害预测预报以及防灾减灾工作提供一定的参考依据。 汛期组织气象、水文、水务等部门及有关专家对2025年全市防汛形势进行分析研判，形成气候趋势预测、水情趋势预测、水库库情分析、城市内涝分析进而提出防汛工作重点，有针对性地督导各区县及开发区和职能部门夯实防汛责任，加强监测预警及时启动应急响应机制规避汛情险情，减少人财物损失。</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西安市2025年汛情研判项目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标的名称：西安市2025年汛情研判项目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汛情信息收集</w:t>
            </w:r>
          </w:p>
          <w:p>
            <w:pPr>
              <w:pStyle w:val="null3"/>
              <w:jc w:val="both"/>
            </w:pPr>
            <w:r>
              <w:rPr>
                <w:rFonts w:ascii="仿宋_GB2312" w:hAnsi="仿宋_GB2312" w:cs="仿宋_GB2312" w:eastAsia="仿宋_GB2312"/>
                <w:sz w:val="21"/>
              </w:rPr>
              <w:t>采集秦岭山区；西安市城区；全市黑河、沣河、灞河等</w:t>
            </w:r>
            <w:r>
              <w:rPr>
                <w:rFonts w:ascii="仿宋_GB2312" w:hAnsi="仿宋_GB2312" w:cs="仿宋_GB2312" w:eastAsia="仿宋_GB2312"/>
                <w:sz w:val="21"/>
              </w:rPr>
              <w:t>10</w:t>
            </w:r>
            <w:r>
              <w:rPr>
                <w:rFonts w:ascii="仿宋_GB2312" w:hAnsi="仿宋_GB2312" w:cs="仿宋_GB2312" w:eastAsia="仿宋_GB2312"/>
                <w:sz w:val="21"/>
              </w:rPr>
              <w:t>条主要河流河道水情；黑河金盆水库、石砭峪水库、李家河水库、零河水库等区域气象、水文、水务等方面汛情信息。</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汛情数据分析</w:t>
            </w:r>
          </w:p>
          <w:p>
            <w:pPr>
              <w:pStyle w:val="null3"/>
              <w:jc w:val="both"/>
            </w:pPr>
            <w:r>
              <w:rPr>
                <w:rFonts w:ascii="仿宋_GB2312" w:hAnsi="仿宋_GB2312" w:cs="仿宋_GB2312" w:eastAsia="仿宋_GB2312"/>
                <w:sz w:val="21"/>
              </w:rPr>
              <w:t>山区气象</w:t>
            </w:r>
            <w:r>
              <w:rPr>
                <w:rFonts w:ascii="仿宋_GB2312" w:hAnsi="仿宋_GB2312" w:cs="仿宋_GB2312" w:eastAsia="仿宋_GB2312"/>
                <w:sz w:val="21"/>
              </w:rPr>
              <w:t>监测数据分析</w:t>
            </w:r>
            <w:r>
              <w:rPr>
                <w:rFonts w:ascii="仿宋_GB2312" w:hAnsi="仿宋_GB2312" w:cs="仿宋_GB2312" w:eastAsia="仿宋_GB2312"/>
                <w:sz w:val="21"/>
              </w:rPr>
              <w:t>、城区气象预报</w:t>
            </w:r>
            <w:r>
              <w:rPr>
                <w:rFonts w:ascii="仿宋_GB2312" w:hAnsi="仿宋_GB2312" w:cs="仿宋_GB2312" w:eastAsia="仿宋_GB2312"/>
                <w:sz w:val="21"/>
              </w:rPr>
              <w:t>分析</w:t>
            </w:r>
            <w:r>
              <w:rPr>
                <w:rFonts w:ascii="仿宋_GB2312" w:hAnsi="仿宋_GB2312" w:cs="仿宋_GB2312" w:eastAsia="仿宋_GB2312"/>
                <w:sz w:val="21"/>
              </w:rPr>
              <w:t>、河道水文</w:t>
            </w:r>
            <w:r>
              <w:rPr>
                <w:rFonts w:ascii="仿宋_GB2312" w:hAnsi="仿宋_GB2312" w:cs="仿宋_GB2312" w:eastAsia="仿宋_GB2312"/>
                <w:sz w:val="21"/>
              </w:rPr>
              <w:t>分析</w:t>
            </w:r>
            <w:r>
              <w:rPr>
                <w:rFonts w:ascii="仿宋_GB2312" w:hAnsi="仿宋_GB2312" w:cs="仿宋_GB2312" w:eastAsia="仿宋_GB2312"/>
                <w:sz w:val="21"/>
              </w:rPr>
              <w:t>、水库径流</w:t>
            </w:r>
            <w:r>
              <w:rPr>
                <w:rFonts w:ascii="仿宋_GB2312" w:hAnsi="仿宋_GB2312" w:cs="仿宋_GB2312" w:eastAsia="仿宋_GB2312"/>
                <w:sz w:val="21"/>
              </w:rPr>
              <w:t>分析</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3、汛情分析研判</w:t>
            </w:r>
          </w:p>
          <w:p>
            <w:pPr>
              <w:pStyle w:val="null3"/>
              <w:jc w:val="both"/>
            </w:pPr>
            <w:r>
              <w:rPr>
                <w:rFonts w:ascii="仿宋_GB2312" w:hAnsi="仿宋_GB2312" w:cs="仿宋_GB2312" w:eastAsia="仿宋_GB2312"/>
                <w:sz w:val="21"/>
              </w:rPr>
              <w:t>组织专业技术人员研判分析山区气象</w:t>
            </w:r>
            <w:r>
              <w:rPr>
                <w:rFonts w:ascii="仿宋_GB2312" w:hAnsi="仿宋_GB2312" w:cs="仿宋_GB2312" w:eastAsia="仿宋_GB2312"/>
                <w:sz w:val="21"/>
              </w:rPr>
              <w:t>数据</w:t>
            </w:r>
            <w:r>
              <w:rPr>
                <w:rFonts w:ascii="仿宋_GB2312" w:hAnsi="仿宋_GB2312" w:cs="仿宋_GB2312" w:eastAsia="仿宋_GB2312"/>
                <w:sz w:val="21"/>
              </w:rPr>
              <w:t>、城区气象预报、河道水文及水库径流，</w:t>
            </w:r>
            <w:r>
              <w:rPr>
                <w:rFonts w:ascii="仿宋_GB2312" w:hAnsi="仿宋_GB2312" w:cs="仿宋_GB2312" w:eastAsia="仿宋_GB2312"/>
                <w:sz w:val="21"/>
              </w:rPr>
              <w:t>分析</w:t>
            </w:r>
            <w:r>
              <w:rPr>
                <w:rFonts w:ascii="仿宋_GB2312" w:hAnsi="仿宋_GB2312" w:cs="仿宋_GB2312" w:eastAsia="仿宋_GB2312"/>
                <w:sz w:val="21"/>
              </w:rPr>
              <w:t>结果形成气象、水文及水务等方面汛情研判成果及防汛指导意见。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4、报告编制装订</w:t>
            </w:r>
          </w:p>
          <w:p>
            <w:pPr>
              <w:pStyle w:val="null3"/>
              <w:jc w:val="both"/>
            </w:pPr>
            <w:r>
              <w:rPr>
                <w:rFonts w:ascii="仿宋_GB2312" w:hAnsi="仿宋_GB2312" w:cs="仿宋_GB2312" w:eastAsia="仿宋_GB2312"/>
                <w:sz w:val="21"/>
              </w:rPr>
              <w:t>编撰成稿，文印输出工作成果报告《汛期研判》，出具汛期</w:t>
            </w:r>
            <w:r>
              <w:rPr>
                <w:rFonts w:ascii="仿宋_GB2312" w:hAnsi="仿宋_GB2312" w:cs="仿宋_GB2312" w:eastAsia="仿宋_GB2312"/>
                <w:sz w:val="21"/>
              </w:rPr>
              <w:t>年度</w:t>
            </w:r>
            <w:r>
              <w:rPr>
                <w:rFonts w:ascii="仿宋_GB2312" w:hAnsi="仿宋_GB2312" w:cs="仿宋_GB2312" w:eastAsia="仿宋_GB2312"/>
                <w:sz w:val="21"/>
              </w:rPr>
              <w:t>报告、汛期每月报告、每旬报告。</w:t>
            </w:r>
            <w:r>
              <w:rPr>
                <w:rFonts w:ascii="仿宋_GB2312" w:hAnsi="仿宋_GB2312" w:cs="仿宋_GB2312" w:eastAsia="仿宋_GB2312"/>
                <w:sz w:val="21"/>
              </w:rPr>
              <w:t>汛期结束后将</w:t>
            </w:r>
            <w:r>
              <w:rPr>
                <w:rFonts w:ascii="仿宋_GB2312" w:hAnsi="仿宋_GB2312" w:cs="仿宋_GB2312" w:eastAsia="仿宋_GB2312"/>
                <w:sz w:val="21"/>
              </w:rPr>
              <w:t>汛期</w:t>
            </w:r>
            <w:r>
              <w:rPr>
                <w:rFonts w:ascii="仿宋_GB2312" w:hAnsi="仿宋_GB2312" w:cs="仿宋_GB2312" w:eastAsia="仿宋_GB2312"/>
                <w:sz w:val="21"/>
              </w:rPr>
              <w:t>年度</w:t>
            </w:r>
            <w:r>
              <w:rPr>
                <w:rFonts w:ascii="仿宋_GB2312" w:hAnsi="仿宋_GB2312" w:cs="仿宋_GB2312" w:eastAsia="仿宋_GB2312"/>
                <w:sz w:val="21"/>
              </w:rPr>
              <w:t>报告、每月报告、每旬报告</w:t>
            </w:r>
            <w:r>
              <w:rPr>
                <w:rFonts w:ascii="仿宋_GB2312" w:hAnsi="仿宋_GB2312" w:cs="仿宋_GB2312" w:eastAsia="仿宋_GB2312"/>
                <w:sz w:val="21"/>
              </w:rPr>
              <w:t>汇编成册。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2025.6.1-2025.10.30（153个自然日）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依据竞争性磋商文件、竞争性磋商响应文件、澄清表（函）、合同内容及附件文本，自行组织验收。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9月30日收到发票后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因履行本合同引起的或与本合同有关的争议，甲、乙双方应首先通过友好协商解决;如果协商不能解决争议，甲乙双方同意采取下列两种方式的第( 1 )种方式解决争议: (1)向甲方所在地有管辖权的人民法院提起诉讼，适用中华人民共和国法律; (2)向西安市仲裁委员会按其仲裁规则申请仲裁。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自甲方最终验收合格之日起3个月，若该质量保证期小于国家标准，则以国家标准为准。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中小企业声明函 残疾人福利性单位声明函 法定代表人资格证明书.docx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落实政府采购政策资格</w:t>
            </w:r>
          </w:p>
        </w:tc>
        <w:tc>
          <w:tcPr>
            <w:tcW w:type="dxa" w:w="3322"/>
          </w:tcPr>
          <w:p>
            <w:pPr>
              <w:pStyle w:val="null3"/>
            </w:pPr>
            <w:r>
              <w:rPr>
                <w:rFonts w:ascii="仿宋_GB2312" w:hAnsi="仿宋_GB2312" w:cs="仿宋_GB2312" w:eastAsia="仿宋_GB2312"/>
              </w:rPr>
              <w:t>（1）《政府采购促进中小企业发展管理办法》的通知--财库〔2020〕46号 （2）陕西省财政厅关于印发《陕西省中小企业政府采购信用融资办法》--(陕财办采〔2018〕23号)、《关于进一步加大政府采购支持中小企业力度的通知》（财库〔2022〕19号） （3）《陕西省财政厅关于进一步加大政府采购支持中小企业力度的通知》（陕财办采〔2022〕5号）、《陕西省财政厅关于落实政府采购支持中小企业政策有关事项的通知》（陕财办采函〔2022〕10号） （4）《陕西省财政厅关于加快推进我省中小企业政府采购信用融资工作的通知》（陕财办采〔2020〕15号） （5）财政部司法部关于政府采购支持监狱企业发展有关问题的通知--财库〔2014〕68号 （6）《国务院办公厅关于建立政府强制采购节能产品制度的通知》--国办发〔2007〕51号 （7）《财政部发展改革委生态环境部市场监管总局关于调整优化节能产品、环境标志产品政府采购执行机制的通知》--（财库[2019]9号） （8）《市场监管总局关于发布参与实施政府采购节能产品、环境标志产品认证机构名录的公告》--2019年第16号 （9）《财政部民政部中国残疾人联合会关于促进残疾人就业政府采购政策的通知》--（财库〔2017〕141号） (10）《财政部国务院扶贫办关于运用政府采购政策支持脱贫攻坚的通知》（财库〔2019〕27号） （11）《关于进一步加强政府绿色采购有关问题的通知》（陕财办采〔2021〕29号） （12）如有最新颁布的政府采购政策，按最新的文件执行。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提供2024年1月1日至今任意一个月已缴纳的纳税证明或完税证明（包含增值税、企业所得税、营业税至少一种）；（依法免税的供应商应提供相关文件证明）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会保障资金缴纳证明：提供2024年1月1日至今任意区间内连续6个月的社保缴费凭据或社保机构开具的社会保险参保缴费情况证明；（成立不足6个月的，提供成立次月起至今社保缴纳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 被授权人参与磋商时需提供法定代表人或负责人授权委托书（附法定代表人或负责人及被授权人身份证复印件及被授权人在公司近一个月的社保缴纳证明）</w:t>
            </w:r>
          </w:p>
        </w:tc>
        <w:tc>
          <w:tcPr>
            <w:tcW w:type="dxa" w:w="1661"/>
          </w:tcPr>
          <w:p>
            <w:pPr>
              <w:pStyle w:val="null3"/>
            </w:pPr>
            <w:r>
              <w:rPr>
                <w:rFonts w:ascii="仿宋_GB2312" w:hAnsi="仿宋_GB2312" w:cs="仿宋_GB2312" w:eastAsia="仿宋_GB2312"/>
              </w:rPr>
              <w:t>法定代表人资格证明书.docx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本项目不接受联合体磋商；（提供非联合体声明，格式自拟加盖供应商公章）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商务应答表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商务应答表 法定代表人资格证明书.docx 报价表 资格证明文件.docx 服务条款响应偏离表.docx 供应商认为需要说明的其他内容.docx 供应商承诺书.docx 响应文件封面 分项报价表.docx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服务方案 服务条款响应偏离表.docx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商务要求明确且实质性响应</w:t>
            </w:r>
          </w:p>
        </w:tc>
        <w:tc>
          <w:tcPr>
            <w:tcW w:type="dxa" w:w="3322"/>
          </w:tcPr>
          <w:p>
            <w:pPr>
              <w:pStyle w:val="null3"/>
            </w:pPr>
            <w:r>
              <w:rPr>
                <w:rFonts w:ascii="仿宋_GB2312" w:hAnsi="仿宋_GB2312" w:cs="仿宋_GB2312" w:eastAsia="仿宋_GB2312"/>
              </w:rPr>
              <w:t>对磋商文件商务要求作出明确且实质性响应</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结合项目实际情况，针对本项目采购需求的服务内容制订切实可行的总体实施方案，按其方案响应程度综合对比计分，方案针对性强、合理完整有效，取得实质性成果赋10分，合理针对性一般，基本合理赋7分，合理针对性弱，缺乏合理性计4分； 2、针对本项目提供技术分析，包含:①气候趋势预测分析;②水情趋势预测分析;③水库库情分析、④城市内涝分析，重点、难点进行分析。 每个单项内容详细完整、思路明晰合理、针对性强，得4分; 每个单项内容基本完整、思路基本合理、有一定针对性，得3分; 每个单项内容不完整、思路模糊、针对性差得2分; 未提供相关内容不得分； 3、针对本项目提供质量控制目标及措施，内容包含：①项目质量控制目标；②项目质量保证措施；③项目质量保障体系措施。 每个单项内容全面完整、详细，切实可行的得3分； 每个单项内容基本完整、清晰，基本可行的得2分 每个单项内容简单、不清晰，不具备可行的，得1分； 未提供相关内容不得分； 4、针对本项目采购内容有进度安排，有具体的保障措施。对工作进度、保障措施的完整性和科学性进行评分。 工作进度保障措施详尽完整、科学合理，针对性强，得6分; 工作进度保障措施基本完整、合理，针对性一般，得3分； 工作进度保障措施不完整、不合理，针对性差，得2分； 未提供相关内容不得分； 5、针对本项目的服务承诺包含但不限于时间响应、服务态度、遵守采购人管理制度及考核规章制度办法，不得随意更换人员，按时完成各类任务等承诺，按其响应程度进行评分。 服务承诺完善，措施安排详尽，可行性强得6分; 服务承诺基本合理，措施安排基本到位，有一定可行性得3分； 服务承诺不合理，措施安排不到位，可行性差，得 1 分； 未提供相关内容不得分； 6、应急预案： 针对本项目实施过程的各类应急预案、突发及重大事件的紧急处理方案。 方案合理，可实施性强计8分； 方案基本合理，可实施性较强计5分； 方案不合理，可实施性差计3分。未提供的不计分； 7、针对本项目提供廉洁从业措施及保密保障措施，廉洁从业措施及保密保障措施详实全面，各方面有详细说明计8分； 廉洁从业措施及保密保障措施全面，各方面有说明但说明表述不清晰计5分； 廉洁从业措施及保密保障措施不够全面，但各方面有基本说明，计3分。 未提供的不得分。</w:t>
            </w:r>
          </w:p>
        </w:tc>
        <w:tc>
          <w:tcPr>
            <w:tcW w:type="dxa" w:w="831"/>
          </w:tcPr>
          <w:p>
            <w:pPr>
              <w:pStyle w:val="null3"/>
              <w:jc w:val="right"/>
            </w:pPr>
            <w:r>
              <w:rPr>
                <w:rFonts w:ascii="仿宋_GB2312" w:hAnsi="仿宋_GB2312" w:cs="仿宋_GB2312" w:eastAsia="仿宋_GB2312"/>
              </w:rPr>
              <w:t>63.0000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人员与设备配备</w:t>
            </w:r>
          </w:p>
        </w:tc>
        <w:tc>
          <w:tcPr>
            <w:tcW w:type="dxa" w:w="2492"/>
          </w:tcPr>
          <w:p>
            <w:pPr>
              <w:pStyle w:val="null3"/>
            </w:pPr>
            <w:r>
              <w:rPr>
                <w:rFonts w:ascii="仿宋_GB2312" w:hAnsi="仿宋_GB2312" w:cs="仿宋_GB2312" w:eastAsia="仿宋_GB2312"/>
              </w:rPr>
              <w:t>供应商提供针对本项目拟派服务团队。团队人员充足，责任划分明确，安排合理，项目负责人具有类似专项活动项目统筹管理和领导经验，且服务团队具有气象、水文、水务、城市管理、安全评估等相关专业的证书的。 人员安排有详细规划，团队架构完整，责任清晰，构成合理计12分； 只提供人员安排，人员架构模糊计8分； 人员安排模糊、人员配置欠缺计4分。 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供应商认为需要说明的其他内容.docx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以合同复印件形式提供2023年1月1日至今类似项目业绩，每份计2分，计满6分为止。 注：供应商需提供采购合同（含首页、服务内容、签字盖章页）复印件，否则业绩不予认可。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针对本项目实际情况进行分析，提出可行的合理化建议。 建议内容科学可行，有针对性且内容丰富，计9分； 建议内容基本可行，针对性有欠缺，计 6 分； 建议内容存在漏洞，不具备针对性，计3 分； 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