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F6A014">
      <w:pPr>
        <w:keepNext w:val="0"/>
        <w:keepLines w:val="0"/>
        <w:pageBreakBefore w:val="0"/>
        <w:kinsoku/>
        <w:overflowPunct/>
        <w:topLinePunct w:val="0"/>
        <w:bidi w:val="0"/>
        <w:adjustRightInd w:val="0"/>
        <w:snapToGrid w:val="0"/>
        <w:spacing w:line="360" w:lineRule="auto"/>
        <w:jc w:val="center"/>
        <w:rPr>
          <w:rFonts w:hint="eastAsia" w:ascii="宋体" w:hAnsi="宋体" w:eastAsia="宋体" w:cs="宋体"/>
          <w:b/>
          <w:bCs/>
          <w:sz w:val="24"/>
          <w:szCs w:val="24"/>
          <w:highlight w:val="none"/>
        </w:rPr>
      </w:pPr>
      <w:r>
        <w:rPr>
          <w:rFonts w:hint="eastAsia" w:ascii="宋体" w:hAnsi="宋体" w:eastAsia="宋体" w:cs="宋体"/>
          <w:b/>
          <w:bCs/>
          <w:sz w:val="32"/>
          <w:szCs w:val="32"/>
          <w:highlight w:val="none"/>
        </w:rPr>
        <w:t>拟签订的合同条款</w:t>
      </w:r>
    </w:p>
    <w:p w14:paraId="738133CC">
      <w:pPr>
        <w:keepNext w:val="0"/>
        <w:keepLines w:val="0"/>
        <w:pageBreakBefore w:val="0"/>
        <w:kinsoku/>
        <w:overflowPunct/>
        <w:topLinePunct w:val="0"/>
        <w:bidi w:val="0"/>
        <w:adjustRightInd w:val="0"/>
        <w:snapToGrid w:val="0"/>
        <w:spacing w:line="360" w:lineRule="auto"/>
        <w:jc w:val="center"/>
        <w:rPr>
          <w:rFonts w:hint="eastAsia" w:ascii="宋体" w:hAnsi="宋体" w:eastAsia="宋体" w:cs="宋体"/>
          <w:color w:val="000000"/>
          <w:sz w:val="24"/>
          <w:szCs w:val="24"/>
          <w:highlight w:val="none"/>
        </w:rPr>
      </w:pPr>
      <w:bookmarkStart w:id="0" w:name="_Toc2345"/>
      <w:bookmarkStart w:id="1" w:name="_Toc3479853"/>
      <w:bookmarkStart w:id="2" w:name="_Toc7987"/>
      <w:bookmarkStart w:id="3" w:name="_Toc3591"/>
      <w:r>
        <w:rPr>
          <w:rFonts w:hint="eastAsia" w:ascii="宋体" w:hAnsi="宋体" w:eastAsia="宋体" w:cs="宋体"/>
          <w:b/>
          <w:bCs/>
          <w:sz w:val="24"/>
          <w:szCs w:val="24"/>
          <w:highlight w:val="none"/>
        </w:rPr>
        <w:t>（此合同样本仅供参考，合同具体细则以双方协定为准）</w:t>
      </w:r>
    </w:p>
    <w:p w14:paraId="36401B33">
      <w:pPr>
        <w:keepNext w:val="0"/>
        <w:keepLines w:val="0"/>
        <w:pageBreakBefore w:val="0"/>
        <w:kinsoku/>
        <w:overflowPunct/>
        <w:topLinePunct w:val="0"/>
        <w:bidi w:val="0"/>
        <w:adjustRightInd w:val="0"/>
        <w:snapToGrid w:val="0"/>
        <w:spacing w:line="360" w:lineRule="auto"/>
        <w:ind w:firstLine="480" w:firstLineChars="200"/>
        <w:jc w:val="both"/>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采购人（甲方）：</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 xml:space="preserve"> </w:t>
      </w:r>
    </w:p>
    <w:p w14:paraId="3AEF1C68">
      <w:pPr>
        <w:keepNext w:val="0"/>
        <w:keepLines w:val="0"/>
        <w:pageBreakBefore w:val="0"/>
        <w:kinsoku/>
        <w:overflowPunct/>
        <w:topLinePunct w:val="0"/>
        <w:bidi w:val="0"/>
        <w:adjustRightInd w:val="0"/>
        <w:snapToGrid w:val="0"/>
        <w:spacing w:line="360" w:lineRule="auto"/>
        <w:ind w:firstLine="480" w:firstLineChars="200"/>
        <w:jc w:val="both"/>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成交人（乙方）：</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rPr>
        <w:t xml:space="preserve">                       </w:t>
      </w:r>
    </w:p>
    <w:p w14:paraId="1BCA51EC">
      <w:pPr>
        <w:keepNext w:val="0"/>
        <w:keepLines w:val="0"/>
        <w:pageBreakBefore w:val="0"/>
        <w:kinsoku/>
        <w:overflowPunct/>
        <w:topLinePunct w:val="0"/>
        <w:bidi w:val="0"/>
        <w:adjustRightInd w:val="0"/>
        <w:snapToGrid w:val="0"/>
        <w:spacing w:line="360" w:lineRule="auto"/>
        <w:ind w:firstLine="480" w:firstLineChars="200"/>
        <w:jc w:val="both"/>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val="en-US" w:eastAsia="zh-CN"/>
        </w:rPr>
        <w:t xml:space="preserve">市委办公区2025-2027年度消防维保项目采购 </w:t>
      </w:r>
      <w:r>
        <w:rPr>
          <w:rFonts w:hint="eastAsia" w:ascii="宋体" w:hAnsi="宋体" w:eastAsia="宋体" w:cs="宋体"/>
          <w:color w:val="000000"/>
          <w:sz w:val="24"/>
          <w:szCs w:val="24"/>
          <w:highlight w:val="none"/>
        </w:rPr>
        <w:t>(项目编号：</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eastAsia="zh-CN"/>
        </w:rPr>
        <w:t>THXZB202</w:t>
      </w:r>
      <w:r>
        <w:rPr>
          <w:rFonts w:hint="eastAsia" w:ascii="宋体" w:hAnsi="宋体" w:cs="宋体"/>
          <w:color w:val="000000"/>
          <w:sz w:val="24"/>
          <w:szCs w:val="24"/>
          <w:highlight w:val="none"/>
          <w:u w:val="single"/>
          <w:lang w:val="en-US" w:eastAsia="zh-CN"/>
        </w:rPr>
        <w:t>5</w:t>
      </w:r>
      <w:r>
        <w:rPr>
          <w:rFonts w:hint="eastAsia" w:ascii="宋体" w:hAnsi="宋体" w:eastAsia="宋体" w:cs="宋体"/>
          <w:color w:val="000000"/>
          <w:sz w:val="24"/>
          <w:szCs w:val="24"/>
          <w:highlight w:val="none"/>
          <w:u w:val="single"/>
          <w:lang w:eastAsia="zh-CN"/>
        </w:rPr>
        <w:t>-10</w:t>
      </w:r>
      <w:r>
        <w:rPr>
          <w:rFonts w:hint="eastAsia" w:ascii="宋体" w:hAnsi="宋体" w:cs="宋体"/>
          <w:color w:val="000000"/>
          <w:sz w:val="24"/>
          <w:szCs w:val="24"/>
          <w:highlight w:val="none"/>
          <w:u w:val="single"/>
          <w:lang w:val="en-US" w:eastAsia="zh-CN"/>
        </w:rPr>
        <w:t>30</w:t>
      </w:r>
      <w:r>
        <w:rPr>
          <w:rFonts w:hint="eastAsia" w:ascii="宋体" w:hAnsi="宋体" w:eastAsia="宋体" w:cs="宋体"/>
          <w:color w:val="000000"/>
          <w:sz w:val="24"/>
          <w:szCs w:val="24"/>
          <w:highlight w:val="none"/>
        </w:rPr>
        <w:t>)，由陕西天鸿信项目管理有限公司组织</w:t>
      </w:r>
      <w:r>
        <w:rPr>
          <w:rFonts w:hint="eastAsia" w:ascii="宋体" w:hAnsi="宋体" w:cs="宋体"/>
          <w:color w:val="000000"/>
          <w:sz w:val="24"/>
          <w:szCs w:val="24"/>
          <w:highlight w:val="none"/>
          <w:lang w:val="en-US" w:eastAsia="zh-CN"/>
        </w:rPr>
        <w:t>竞争性磋商</w:t>
      </w: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eastAsia="zh-CN"/>
        </w:rPr>
        <w:t>中共西安市委办公厅</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FFFFFF"/>
          <w:sz w:val="24"/>
          <w:szCs w:val="24"/>
          <w:highlight w:val="none"/>
          <w:u w:val="single"/>
        </w:rPr>
        <w:t>2</w:t>
      </w:r>
      <w:r>
        <w:rPr>
          <w:rFonts w:hint="eastAsia" w:ascii="宋体" w:hAnsi="宋体" w:eastAsia="宋体" w:cs="宋体"/>
          <w:color w:val="000000"/>
          <w:sz w:val="24"/>
          <w:szCs w:val="24"/>
          <w:highlight w:val="none"/>
        </w:rPr>
        <w:t>(以下简称“甲方”)确定</w:t>
      </w:r>
      <w:r>
        <w:rPr>
          <w:rFonts w:hint="eastAsia" w:ascii="宋体" w:hAnsi="宋体" w:eastAsia="宋体" w:cs="宋体"/>
          <w:color w:val="000000"/>
          <w:sz w:val="24"/>
          <w:szCs w:val="24"/>
          <w:highlight w:val="none"/>
          <w:u w:val="single"/>
        </w:rPr>
        <w:t xml:space="preserve"> (成交单位名称) </w:t>
      </w:r>
      <w:r>
        <w:rPr>
          <w:rFonts w:hint="eastAsia" w:ascii="宋体" w:hAnsi="宋体" w:eastAsia="宋体" w:cs="宋体"/>
          <w:color w:val="000000"/>
          <w:sz w:val="24"/>
          <w:szCs w:val="24"/>
          <w:highlight w:val="none"/>
        </w:rPr>
        <w:t xml:space="preserve">（以下简称“乙方”）为成交单位。 </w:t>
      </w:r>
    </w:p>
    <w:p w14:paraId="66911798">
      <w:pPr>
        <w:keepNext w:val="0"/>
        <w:keepLines w:val="0"/>
        <w:pageBreakBefore w:val="0"/>
        <w:kinsoku/>
        <w:overflowPunct/>
        <w:topLinePunct w:val="0"/>
        <w:bidi w:val="0"/>
        <w:adjustRightInd w:val="0"/>
        <w:snapToGrid w:val="0"/>
        <w:spacing w:line="360" w:lineRule="auto"/>
        <w:ind w:firstLine="480" w:firstLineChars="200"/>
        <w:jc w:val="both"/>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依据《中华人民共和国民法典》和《中华人民共和国政府采购法》及相关法律法规的规定，甲、乙双方在平等自愿原则下签订本合同，并共同遵守如下条款： </w:t>
      </w:r>
    </w:p>
    <w:p w14:paraId="29D93468">
      <w:pPr>
        <w:keepNext w:val="0"/>
        <w:keepLines w:val="0"/>
        <w:pageBreakBefore w:val="0"/>
        <w:kinsoku/>
        <w:overflowPunct/>
        <w:topLinePunct w:val="0"/>
        <w:bidi w:val="0"/>
        <w:adjustRightInd w:val="0"/>
        <w:snapToGrid w:val="0"/>
        <w:spacing w:line="360" w:lineRule="auto"/>
        <w:jc w:val="both"/>
        <w:rPr>
          <w:rFonts w:hint="eastAsia" w:ascii="宋体" w:hAnsi="宋体" w:eastAsia="宋体" w:cs="宋体"/>
          <w:color w:val="000000"/>
          <w:sz w:val="24"/>
          <w:szCs w:val="24"/>
          <w:highlight w:val="none"/>
        </w:rPr>
      </w:pPr>
      <w:r>
        <w:rPr>
          <w:rFonts w:hint="eastAsia" w:ascii="宋体" w:hAnsi="宋体" w:eastAsia="宋体" w:cs="宋体"/>
          <w:b/>
          <w:bCs/>
          <w:color w:val="000000"/>
          <w:sz w:val="24"/>
          <w:szCs w:val="24"/>
          <w:highlight w:val="none"/>
        </w:rPr>
        <w:t>1、合同价款</w:t>
      </w:r>
      <w:r>
        <w:rPr>
          <w:rFonts w:hint="eastAsia" w:ascii="宋体" w:hAnsi="宋体" w:eastAsia="宋体" w:cs="宋体"/>
          <w:color w:val="000000"/>
          <w:sz w:val="24"/>
          <w:szCs w:val="24"/>
          <w:highlight w:val="none"/>
        </w:rPr>
        <w:t xml:space="preserve">  </w:t>
      </w:r>
    </w:p>
    <w:p w14:paraId="6661BC84">
      <w:pPr>
        <w:keepNext w:val="0"/>
        <w:keepLines w:val="0"/>
        <w:pageBreakBefore w:val="0"/>
        <w:numPr>
          <w:ilvl w:val="0"/>
          <w:numId w:val="0"/>
        </w:numPr>
        <w:kinsoku/>
        <w:overflowPunct/>
        <w:topLinePunct w:val="0"/>
        <w:bidi w:val="0"/>
        <w:adjustRightInd w:val="0"/>
        <w:snapToGrid w:val="0"/>
        <w:spacing w:line="360" w:lineRule="auto"/>
        <w:ind w:firstLine="480" w:firstLineChars="200"/>
        <w:jc w:val="both"/>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1.1合同总价款为人民币</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lang w:val="en-US" w:eastAsia="zh-CN"/>
        </w:rPr>
        <w:t xml:space="preserve">元（大写：  </w:t>
      </w:r>
      <w:r>
        <w:rPr>
          <w:rFonts w:hint="eastAsia" w:ascii="宋体" w:hAnsi="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lang w:val="en-US" w:eastAsia="zh-CN"/>
        </w:rPr>
        <w:t xml:space="preserve">  ）。</w:t>
      </w:r>
    </w:p>
    <w:p w14:paraId="43DD38ED">
      <w:pPr>
        <w:keepNext w:val="0"/>
        <w:keepLines w:val="0"/>
        <w:pageBreakBefore w:val="0"/>
        <w:numPr>
          <w:ilvl w:val="0"/>
          <w:numId w:val="0"/>
        </w:numPr>
        <w:kinsoku/>
        <w:overflowPunct/>
        <w:topLinePunct w:val="0"/>
        <w:bidi w:val="0"/>
        <w:adjustRightInd w:val="0"/>
        <w:snapToGrid w:val="0"/>
        <w:spacing w:line="360" w:lineRule="auto"/>
        <w:ind w:firstLine="480" w:firstLineChars="200"/>
        <w:jc w:val="both"/>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val="en-US" w:eastAsia="zh-CN"/>
        </w:rPr>
        <w:t>1.2</w:t>
      </w:r>
      <w:r>
        <w:rPr>
          <w:rFonts w:hint="eastAsia" w:ascii="宋体" w:hAnsi="宋体" w:eastAsia="宋体" w:cs="宋体"/>
          <w:color w:val="000000"/>
          <w:sz w:val="24"/>
          <w:szCs w:val="24"/>
          <w:highlight w:val="none"/>
        </w:rPr>
        <w:t>合同</w:t>
      </w:r>
      <w:r>
        <w:rPr>
          <w:rFonts w:hint="eastAsia" w:ascii="宋体" w:hAnsi="宋体" w:eastAsia="宋体" w:cs="宋体"/>
          <w:color w:val="000000"/>
          <w:sz w:val="24"/>
          <w:szCs w:val="24"/>
          <w:highlight w:val="none"/>
          <w:lang w:val="en-US" w:eastAsia="zh-CN"/>
        </w:rPr>
        <w:t>价款包括</w:t>
      </w:r>
      <w:r>
        <w:rPr>
          <w:rFonts w:hint="eastAsia" w:ascii="宋体" w:hAnsi="宋体" w:eastAsia="宋体" w:cs="宋体"/>
          <w:color w:val="000000"/>
          <w:sz w:val="24"/>
          <w:szCs w:val="24"/>
          <w:highlight w:val="none"/>
        </w:rPr>
        <w:t>材料费、人工费、运输费</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lang w:val="en-US" w:eastAsia="zh-CN"/>
        </w:rPr>
        <w:t>税费、</w:t>
      </w:r>
      <w:r>
        <w:rPr>
          <w:rFonts w:hint="eastAsia" w:ascii="宋体" w:hAnsi="宋体" w:eastAsia="宋体" w:cs="宋体"/>
          <w:color w:val="000000"/>
          <w:sz w:val="24"/>
          <w:szCs w:val="24"/>
          <w:highlight w:val="none"/>
        </w:rPr>
        <w:t>其他费用。</w:t>
      </w:r>
    </w:p>
    <w:p w14:paraId="7958597A">
      <w:pPr>
        <w:keepNext w:val="0"/>
        <w:keepLines w:val="0"/>
        <w:pageBreakBefore w:val="0"/>
        <w:numPr>
          <w:ilvl w:val="0"/>
          <w:numId w:val="0"/>
        </w:numPr>
        <w:kinsoku/>
        <w:overflowPunct/>
        <w:topLinePunct w:val="0"/>
        <w:bidi w:val="0"/>
        <w:adjustRightInd w:val="0"/>
        <w:snapToGrid w:val="0"/>
        <w:spacing w:line="360" w:lineRule="auto"/>
        <w:ind w:firstLine="480" w:firstLineChars="200"/>
        <w:jc w:val="both"/>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val="en-US" w:eastAsia="zh-CN"/>
        </w:rPr>
        <w:t>1.3本合同实行固定总价，不受市场价格变化及其他因素的影响。</w:t>
      </w:r>
    </w:p>
    <w:p w14:paraId="4D9245DB">
      <w:pPr>
        <w:keepNext w:val="0"/>
        <w:keepLines w:val="0"/>
        <w:pageBreakBefore w:val="0"/>
        <w:kinsoku/>
        <w:overflowPunct/>
        <w:topLinePunct w:val="0"/>
        <w:bidi w:val="0"/>
        <w:adjustRightInd w:val="0"/>
        <w:snapToGrid w:val="0"/>
        <w:spacing w:line="360" w:lineRule="auto"/>
        <w:jc w:val="both"/>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 xml:space="preserve">2、服务期限 </w:t>
      </w:r>
    </w:p>
    <w:p w14:paraId="0BF9B0A7">
      <w:pPr>
        <w:keepNext w:val="0"/>
        <w:keepLines w:val="0"/>
        <w:pageBreakBefore w:val="0"/>
        <w:kinsoku/>
        <w:overflowPunct/>
        <w:topLinePunct w:val="0"/>
        <w:bidi w:val="0"/>
        <w:adjustRightInd w:val="0"/>
        <w:snapToGrid w:val="0"/>
        <w:spacing w:line="360" w:lineRule="auto"/>
        <w:ind w:firstLine="480" w:firstLineChars="200"/>
        <w:jc w:val="both"/>
        <w:rPr>
          <w:rFonts w:hint="eastAsia" w:ascii="宋体" w:hAnsi="宋体" w:eastAsia="宋体" w:cs="宋体"/>
          <w:color w:val="FFFFFF"/>
          <w:sz w:val="24"/>
          <w:szCs w:val="24"/>
          <w:highlight w:val="none"/>
          <w:u w:val="single"/>
        </w:rPr>
      </w:pPr>
      <w:r>
        <w:rPr>
          <w:rFonts w:hint="eastAsia" w:ascii="宋体" w:hAnsi="宋体" w:eastAsia="宋体" w:cs="宋体"/>
          <w:b w:val="0"/>
          <w:bCs w:val="0"/>
          <w:color w:val="auto"/>
          <w:kern w:val="2"/>
          <w:sz w:val="24"/>
          <w:szCs w:val="24"/>
          <w:highlight w:val="none"/>
          <w:lang w:val="en-US" w:eastAsia="zh-CN" w:bidi="ar-SA"/>
        </w:rPr>
        <w:t>合同签订之日起3年（合同一年一签，每年合同期满，根据考核情况确定是否续签下一年度服务合同）</w:t>
      </w:r>
      <w:r>
        <w:rPr>
          <w:rFonts w:hint="eastAsia" w:ascii="宋体" w:hAnsi="宋体" w:eastAsia="宋体" w:cs="宋体"/>
          <w:color w:val="FFFFFF"/>
          <w:sz w:val="24"/>
          <w:szCs w:val="24"/>
          <w:highlight w:val="none"/>
          <w:u w:val="single"/>
        </w:rPr>
        <w:t>2</w:t>
      </w:r>
    </w:p>
    <w:p w14:paraId="2F6625AB">
      <w:pPr>
        <w:keepNext w:val="0"/>
        <w:keepLines w:val="0"/>
        <w:pageBreakBefore w:val="0"/>
        <w:kinsoku/>
        <w:overflowPunct/>
        <w:topLinePunct w:val="0"/>
        <w:bidi w:val="0"/>
        <w:adjustRightInd w:val="0"/>
        <w:snapToGrid w:val="0"/>
        <w:spacing w:line="360" w:lineRule="auto"/>
        <w:jc w:val="both"/>
        <w:rPr>
          <w:rFonts w:hint="eastAsia" w:ascii="宋体" w:hAnsi="宋体" w:eastAsia="宋体" w:cs="宋体"/>
          <w:color w:val="FFFFFF"/>
          <w:sz w:val="24"/>
          <w:szCs w:val="24"/>
          <w:highlight w:val="none"/>
          <w:u w:val="single"/>
          <w:lang w:val="en-US" w:eastAsia="zh-CN"/>
        </w:rPr>
      </w:pPr>
      <w:r>
        <w:rPr>
          <w:rFonts w:hint="eastAsia" w:ascii="宋体" w:hAnsi="宋体" w:eastAsia="宋体" w:cs="宋体"/>
          <w:b/>
          <w:bCs/>
          <w:color w:val="000000"/>
          <w:sz w:val="24"/>
          <w:szCs w:val="24"/>
          <w:highlight w:val="none"/>
        </w:rPr>
        <w:t>3、服务内容</w:t>
      </w:r>
      <w:r>
        <w:rPr>
          <w:rFonts w:hint="eastAsia" w:ascii="宋体" w:hAnsi="宋体" w:eastAsia="宋体" w:cs="宋体"/>
          <w:b/>
          <w:bCs/>
          <w:color w:val="000000"/>
          <w:sz w:val="24"/>
          <w:szCs w:val="24"/>
          <w:highlight w:val="none"/>
          <w:lang w:eastAsia="zh-CN"/>
        </w:rPr>
        <w:t>、</w:t>
      </w:r>
      <w:r>
        <w:rPr>
          <w:rFonts w:hint="eastAsia" w:ascii="宋体" w:hAnsi="宋体" w:eastAsia="宋体" w:cs="宋体"/>
          <w:b/>
          <w:bCs/>
          <w:color w:val="000000"/>
          <w:sz w:val="24"/>
          <w:szCs w:val="24"/>
          <w:highlight w:val="none"/>
          <w:lang w:val="en-US" w:eastAsia="zh-CN"/>
        </w:rPr>
        <w:t>服务地点</w:t>
      </w:r>
    </w:p>
    <w:p w14:paraId="2866F3F8">
      <w:pPr>
        <w:keepNext w:val="0"/>
        <w:keepLines w:val="0"/>
        <w:pageBreakBefore w:val="0"/>
        <w:kinsoku/>
        <w:overflowPunct/>
        <w:topLinePunct w:val="0"/>
        <w:bidi w:val="0"/>
        <w:adjustRightInd w:val="0"/>
        <w:snapToGrid w:val="0"/>
        <w:spacing w:line="360" w:lineRule="auto"/>
        <w:jc w:val="both"/>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3.1维保内容：</w:t>
      </w:r>
    </w:p>
    <w:p w14:paraId="149B1688">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火灾自动报警及消防联动控制系统</w:t>
      </w:r>
    </w:p>
    <w:p w14:paraId="73835BEC">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）每日巡查火灾报警探测器、手动报警按钮、火灾警报装置的外观和运行状态;查看火灾报警控制器、区域显示器、CRT图形显示器的运行状态。</w:t>
      </w:r>
    </w:p>
    <w:p w14:paraId="23343DF4">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）每月对火灾报警探测器、手动报警按钮做报警功能试验，检查火灾报警控制器的火灾和故障声光报警功能、火警优先功能、打印机打印功能、火灾显示盘和CRT显示器的信息显示功能。</w:t>
      </w:r>
    </w:p>
    <w:p w14:paraId="3DFFDECB">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每季度选择部分回路进行报警控制系统模拟联动试验，检查探测器、火灾报警控制器的各项功能以及对联动设备的控制和显示功能，试验探测器数量不应少于总数的25%;每季度要分别采用自动控制和手动控制的方式检查联动消防设备的启、停以及报警控制器上反馈信号的显示功能;每季度对消防设备电源进行1</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3次主、备电源间的自动切换。</w:t>
      </w:r>
    </w:p>
    <w:p w14:paraId="66BA7ADE">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4</w:t>
      </w:r>
      <w:r>
        <w:rPr>
          <w:rFonts w:hint="eastAsia" w:ascii="宋体" w:hAnsi="宋体" w:eastAsia="宋体" w:cs="宋体"/>
          <w:sz w:val="24"/>
          <w:szCs w:val="24"/>
          <w:lang w:eastAsia="zh-CN"/>
        </w:rPr>
        <w:t>）每年对火灾自动报警系统进行两次系统模拟联动试验，检测联动控制和显示、记录功能。</w:t>
      </w:r>
    </w:p>
    <w:p w14:paraId="0F786A31">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气体灭火系统</w:t>
      </w:r>
    </w:p>
    <w:p w14:paraId="19CC82FF">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日常检查气体灭火系统的灭火剂储存容器、选择阀、高压软管、集流管、阀驱动装置、管网与喷嘴等系统部件外观有无机械损伤、锈蚀和镀层脱落，如存在缺陷，应及时更换;检查电磁阀与控制阀的连接导线是否完好，端子是否松动或脱落。</w:t>
      </w:r>
    </w:p>
    <w:p w14:paraId="18780BA3">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每月检查自动气体灭火系统的灭火剂储存容器压力或重量，若压力损失超过设计值的10%或重量损失超过设计值的5%时，应予以填充或更换;检查气体灭火保护区内感温探测器、感烟探测器、气体灭火控制盘、紧急启动/停止装置、声/光报警装置的运行状态;查看启动装置工作状态;检查选择阀手动启动功能。</w:t>
      </w:r>
    </w:p>
    <w:p w14:paraId="0907F18F">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每半年对气体灭火系统进行一次全面检测和联动试验。在各防护区进行探测器模拟烟温报警联动，检查气体灭火系统自动和手动控制启、停的可靠性，报警及延时的准确性和各报警控制装置、电磁阀动作的灵活性以及消防控制室的反馈信号显示功能等。</w:t>
      </w:r>
    </w:p>
    <w:p w14:paraId="68106AEE">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自动喷水灭火系统</w:t>
      </w:r>
    </w:p>
    <w:p w14:paraId="49CF8397">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日常检查自动喷水灭火系统状态和使用环境，重点检查系统组件包括各类阀门、报警阀组、喷头、管道、供水设施等设备外观有无损坏、锈蚀、渗漏，系统工作环境或保护对象是否正常等;检查喷淋泵控制柜的控制方式是否为自动运行方式;检查末端试水装置的压力值是否满足设计要求。每半年完成对全部设备的查看。</w:t>
      </w:r>
    </w:p>
    <w:p w14:paraId="649EF9AE">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）每月检查报警阀组的排水功能，测试压力开关、水力警铃的报警功能;末端放水测试，检查系统工作压力及水质情况;测试水流指示器、压力开关动作信号反馈情况。</w:t>
      </w:r>
    </w:p>
    <w:p w14:paraId="51A22C60">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每季度应对自动喷水灭火系统的部分管网进行检查，通过末端试水装置进行放水试验，查看阀门的开启性能和密封性能，水流指示器、压力开关、延时器、水力警铃及喷淋泵的状态以及火灾报警控制器上显示的报警或动作响应。</w:t>
      </w:r>
    </w:p>
    <w:p w14:paraId="056E2AD1">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4</w:t>
      </w:r>
      <w:r>
        <w:rPr>
          <w:rFonts w:hint="eastAsia" w:ascii="宋体" w:hAnsi="宋体" w:eastAsia="宋体" w:cs="宋体"/>
          <w:sz w:val="24"/>
          <w:szCs w:val="24"/>
          <w:lang w:eastAsia="zh-CN"/>
        </w:rPr>
        <w:t>）每年至少对自动喷水灭火系统进行一次全面检测，检测从供水管道至系统组件的全部功能。</w:t>
      </w:r>
    </w:p>
    <w:p w14:paraId="17816C9C">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4、</w:t>
      </w:r>
      <w:r>
        <w:rPr>
          <w:rFonts w:hint="eastAsia" w:ascii="宋体" w:hAnsi="宋体" w:eastAsia="宋体" w:cs="宋体"/>
          <w:sz w:val="24"/>
          <w:szCs w:val="24"/>
          <w:lang w:eastAsia="zh-CN"/>
        </w:rPr>
        <w:t>消火栓灭火系统</w:t>
      </w:r>
    </w:p>
    <w:p w14:paraId="4E04983A">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）日常查看室内消火栓、消火栓按钮、室外消火栓、消防水泵接合器及标志，对被圈占、埋压、损坏、挪用的设备，一经发现及时恢复，每月完成对全部设备的查看。</w:t>
      </w:r>
    </w:p>
    <w:p w14:paraId="5E4E4877">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每月检查消火栓有无生锈漏水现象，消火栓的闸阀开启是否灵活，必要时应对阀杆加润滑油;检查室内消火栓箱内的水枪、水带、启泵按钮等设备是否完好;对试验消火栓进行放水试验，测试出水压力、静压及水质;测试室内外消火栓的静压及出水压力;远程手/自动启动消火栓泵。</w:t>
      </w:r>
    </w:p>
    <w:p w14:paraId="4CA60711">
      <w:pPr>
        <w:keepNext w:val="0"/>
        <w:keepLines w:val="0"/>
        <w:pageBreakBefore w:val="0"/>
        <w:widowControl/>
        <w:kinsoku/>
        <w:wordWrap/>
        <w:overflowPunct/>
        <w:topLinePunct w:val="0"/>
        <w:autoSpaceDE/>
        <w:autoSpaceDN/>
        <w:bidi w:val="0"/>
        <w:adjustRightInd/>
        <w:snapToGrid/>
        <w:spacing w:line="360" w:lineRule="auto"/>
        <w:ind w:left="596" w:leftChars="284" w:firstLine="0" w:firstLineChars="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）每年检查各消火栓的出水情况，确保正常水压状态。</w:t>
      </w:r>
    </w:p>
    <w:p w14:paraId="0D8D0EFA">
      <w:pPr>
        <w:keepNext w:val="0"/>
        <w:keepLines w:val="0"/>
        <w:pageBreakBefore w:val="0"/>
        <w:widowControl/>
        <w:kinsoku/>
        <w:wordWrap/>
        <w:overflowPunct/>
        <w:topLinePunct w:val="0"/>
        <w:autoSpaceDE/>
        <w:autoSpaceDN/>
        <w:bidi w:val="0"/>
        <w:adjustRightInd/>
        <w:snapToGrid/>
        <w:spacing w:line="360" w:lineRule="auto"/>
        <w:ind w:left="596" w:leftChars="284" w:firstLine="0" w:firstLineChars="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5、</w:t>
      </w:r>
      <w:r>
        <w:rPr>
          <w:rFonts w:hint="eastAsia" w:ascii="宋体" w:hAnsi="宋体" w:eastAsia="宋体" w:cs="宋体"/>
          <w:sz w:val="24"/>
          <w:szCs w:val="24"/>
          <w:lang w:eastAsia="zh-CN"/>
        </w:rPr>
        <w:t>防烟排烟与通风空调系统</w:t>
      </w:r>
    </w:p>
    <w:p w14:paraId="7775CAF1">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）日常查看机械防、排烟系统组件有无损坏、锈蚀的现象，正压送风口、机械排烟风口及其现场手动开启装置是否被遮挡，每季度完成对全部设备的查看。</w:t>
      </w:r>
    </w:p>
    <w:p w14:paraId="79DD764F">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）每月手动开启、关闭正压送风口、排烟风口，防火阀，对每个防烟(或正压送风)分区进行动作试验，检验其灵活性和密封性。</w:t>
      </w:r>
    </w:p>
    <w:p w14:paraId="624F134E">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）每季度测试机械防、排烟系统手动、自动启动功能及空调防火阀的关闭功能，检测各组件的运行状态。</w:t>
      </w:r>
    </w:p>
    <w:p w14:paraId="0CD53323">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4</w:t>
      </w:r>
      <w:r>
        <w:rPr>
          <w:rFonts w:hint="eastAsia" w:ascii="宋体" w:hAnsi="宋体" w:eastAsia="宋体" w:cs="宋体"/>
          <w:sz w:val="24"/>
          <w:szCs w:val="24"/>
          <w:lang w:eastAsia="zh-CN"/>
        </w:rPr>
        <w:t>）每年进行两次模拟报警试验，启动正压送风机、排烟风机，开启正压送风口和排烟风口，关闭空调和防火阀。</w:t>
      </w:r>
    </w:p>
    <w:p w14:paraId="222C304F">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6、</w:t>
      </w:r>
      <w:r>
        <w:rPr>
          <w:rFonts w:hint="eastAsia" w:ascii="宋体" w:hAnsi="宋体" w:eastAsia="宋体" w:cs="宋体"/>
          <w:sz w:val="24"/>
          <w:szCs w:val="24"/>
          <w:lang w:eastAsia="zh-CN"/>
        </w:rPr>
        <w:t>防火门及活动式防火分隔设施</w:t>
      </w:r>
    </w:p>
    <w:p w14:paraId="11ADC55B">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）日常查看防火门、电动防火门、防火卷帘门是否处于正常的开启或闭合状态，外观是否完好，及时清除上述设备附近影响其正常关闭和开启的障碍物，每季度完成对全部设备的查看。</w:t>
      </w:r>
    </w:p>
    <w:p w14:paraId="4938BDF1">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）每月对防火门启闭功能、防火卷帘门升降功能的手动启动、电动启动及机械应急启动做控制试验，查看信号反馈功能。</w:t>
      </w:r>
    </w:p>
    <w:p w14:paraId="700DBDE6">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）每年通过报警联动，检查电动防火门的开启或关闭功能、防火卷帘门的升降功能以及动作信号的反馈显示;对防火门的铰链、闭门器及防火卷帘的轨道、卷门机轴进行一次润滑保养。</w:t>
      </w:r>
    </w:p>
    <w:p w14:paraId="71F2E02F">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7、</w:t>
      </w:r>
      <w:r>
        <w:rPr>
          <w:rFonts w:hint="eastAsia" w:ascii="宋体" w:hAnsi="宋体" w:eastAsia="宋体" w:cs="宋体"/>
          <w:sz w:val="24"/>
          <w:szCs w:val="24"/>
          <w:lang w:eastAsia="zh-CN"/>
        </w:rPr>
        <w:t>火灾应急照明和疏散指示系统</w:t>
      </w:r>
    </w:p>
    <w:p w14:paraId="372D765A">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）日常查看火灾应急照明和疏散指示标志外观，每月完成对全部设备的查看。</w:t>
      </w:r>
    </w:p>
    <w:p w14:paraId="1EDE7CF8">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）每月手动切断正常供电，检查应急照明灯和疏散指示标志的充放电功能、应急电源供电时间、照度是否达到规范要求。</w:t>
      </w:r>
    </w:p>
    <w:p w14:paraId="283D27A4">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）每年通过报警联动对应急照明灯和疏散指示标志等进行功能和安全性检查。</w:t>
      </w:r>
    </w:p>
    <w:p w14:paraId="08E289DA">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8、</w:t>
      </w:r>
      <w:r>
        <w:rPr>
          <w:rFonts w:hint="eastAsia" w:ascii="宋体" w:hAnsi="宋体" w:eastAsia="宋体" w:cs="宋体"/>
          <w:sz w:val="24"/>
          <w:szCs w:val="24"/>
          <w:lang w:eastAsia="zh-CN"/>
        </w:rPr>
        <w:t>消防电梯、消防通讯设备及火灾应急广播系统</w:t>
      </w:r>
    </w:p>
    <w:p w14:paraId="112E8E8C">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）日常查看消防电梯的紧急按钮外观;查看消防电话主机、座机和电话插孔以及对讲机外观有无拆卸、改动、破损和脱落;查看应急广播功放、音源及扬声器外观是否完好，接线有无松动、破损和脱落。</w:t>
      </w:r>
    </w:p>
    <w:p w14:paraId="48D92D88">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每月测试消防电梯迫降功能，查看消防电梯迫降反馈信号显示功能;使用消防电话主机、电话分机、电话插孔进行双向呼叫通话试验，检查电话主机功能和通话质量;测试消防广播系统手动选层广播和广播强制切换功能，检查扬声器广播质量和音量。</w:t>
      </w:r>
    </w:p>
    <w:p w14:paraId="00C000BF">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）每季度完成对全部设备的查看。</w:t>
      </w:r>
    </w:p>
    <w:p w14:paraId="129CCD43">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4</w:t>
      </w:r>
      <w:r>
        <w:rPr>
          <w:rFonts w:hint="eastAsia" w:ascii="宋体" w:hAnsi="宋体" w:eastAsia="宋体" w:cs="宋体"/>
          <w:sz w:val="24"/>
          <w:szCs w:val="24"/>
          <w:lang w:eastAsia="zh-CN"/>
        </w:rPr>
        <w:t>）每年通过报警联动，检查电梯迫降功能和消防广播自动切换功能;对消防通讯设备进行两次全面的通话检测。</w:t>
      </w:r>
    </w:p>
    <w:p w14:paraId="5F7BAA4E">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9、</w:t>
      </w:r>
      <w:r>
        <w:rPr>
          <w:rFonts w:hint="eastAsia" w:ascii="宋体" w:hAnsi="宋体" w:eastAsia="宋体" w:cs="宋体"/>
          <w:sz w:val="24"/>
          <w:szCs w:val="24"/>
          <w:lang w:eastAsia="zh-CN"/>
        </w:rPr>
        <w:t>消防供电系统</w:t>
      </w:r>
    </w:p>
    <w:p w14:paraId="02A02B90">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日常查看消防专用配电柜、开关柜及消防用电设备双电源末端切换箱是否处于正常的工作状态;查看备用电源(EPS、UPS、自备发电机)的外观;查看自备发电机的储油量是否符合设计要求。每季度完成对全部设备的查看。</w:t>
      </w:r>
    </w:p>
    <w:p w14:paraId="432FBC3B">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）每月试验消防配电柜的主、备电切换功能;模拟火灾报警测试系统非消防电源切断和应急电源投入功能，检查应急电源的充、放电功能。</w:t>
      </w:r>
    </w:p>
    <w:p w14:paraId="56DF6BE7">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）每季度检查消防用电设备处双电源末端切换装置能否正常自动切换。</w:t>
      </w:r>
    </w:p>
    <w:p w14:paraId="6319A64D">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10、</w:t>
      </w:r>
      <w:r>
        <w:rPr>
          <w:rFonts w:hint="eastAsia" w:ascii="宋体" w:hAnsi="宋体" w:eastAsia="宋体" w:cs="宋体"/>
          <w:sz w:val="24"/>
          <w:szCs w:val="24"/>
          <w:lang w:eastAsia="zh-CN"/>
        </w:rPr>
        <w:t>消防供水系统</w:t>
      </w:r>
    </w:p>
    <w:p w14:paraId="68064BB6">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）日常查看消防水池、消防水箱、水泵接合器外观有无损坏、锈蚀、渗漏，启闭位置是否正常，消防水泵、稳压泵、增压泵、气压水罐、管网控制阀门等工作状态是否正常。每月完成对全部设备的查看。</w:t>
      </w:r>
    </w:p>
    <w:p w14:paraId="336F0EDB">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每月检查消防水池、消防水箱的水位，查看液位检测装置;检查各类常开、常闭阀门的启闭状态是否正常，每台消防水泵应每月进行一次运转试验，检查消防水泵主、备泵切换的运行情况;每月测试一次稳压泵的启动和停止功能;试验控制阀门的启闭功能、减压装置的减压功能。</w:t>
      </w:r>
    </w:p>
    <w:p w14:paraId="7633FB99">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11、</w:t>
      </w:r>
      <w:r>
        <w:rPr>
          <w:rFonts w:hint="eastAsia" w:ascii="宋体" w:hAnsi="宋体" w:eastAsia="宋体" w:cs="宋体"/>
          <w:sz w:val="24"/>
          <w:szCs w:val="24"/>
          <w:lang w:eastAsia="zh-CN"/>
        </w:rPr>
        <w:t>建筑灭火器</w:t>
      </w:r>
    </w:p>
    <w:p w14:paraId="6E1A7048">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）日常查看灭火器的数量和位置有无改变，其外观有无损坏、锈蚀，标牌是否清晰，每周完成对全部灭火器的查看。</w:t>
      </w:r>
    </w:p>
    <w:p w14:paraId="706A79A0">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）每月逐一检查灭火器压力值是否满足要求。</w:t>
      </w:r>
    </w:p>
    <w:p w14:paraId="550CCD28">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12、</w:t>
      </w:r>
      <w:r>
        <w:rPr>
          <w:rFonts w:hint="eastAsia" w:ascii="宋体" w:hAnsi="宋体" w:eastAsia="宋体" w:cs="宋体"/>
          <w:sz w:val="24"/>
          <w:szCs w:val="24"/>
          <w:lang w:eastAsia="zh-CN"/>
        </w:rPr>
        <w:t>疏散楼梯、疏散走道、疏散门</w:t>
      </w:r>
    </w:p>
    <w:p w14:paraId="5939A6A9">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日常查看疏散通道(含疏散楼梯间、前室、疏散走道、安全出口)是否畅通无阻挡物。发现问题及时清理。</w:t>
      </w:r>
    </w:p>
    <w:p w14:paraId="6ACC0E38">
      <w:pPr>
        <w:pStyle w:val="6"/>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kern w:val="2"/>
          <w:sz w:val="24"/>
          <w:szCs w:val="24"/>
          <w:lang w:val="en-US" w:eastAsia="zh-CN" w:bidi="ar-SA"/>
        </w:rPr>
        <w:t>13、</w:t>
      </w:r>
      <w:r>
        <w:rPr>
          <w:rFonts w:hint="eastAsia" w:ascii="宋体" w:hAnsi="宋体" w:eastAsia="宋体" w:cs="宋体"/>
          <w:color w:val="auto"/>
          <w:sz w:val="24"/>
          <w:szCs w:val="24"/>
          <w:lang w:val="en-US" w:eastAsia="zh-CN"/>
        </w:rPr>
        <w:t>厨房灭火系统</w:t>
      </w:r>
    </w:p>
    <w:p w14:paraId="0D1DEF9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（1）定期进行维护保养，每次维保工作结束后，应填写厨房设备灭火装置维保明细单，经甲方签字确认后留存备查，维保内容：</w:t>
      </w:r>
    </w:p>
    <w:p w14:paraId="2AA6123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sz w:val="24"/>
          <w:szCs w:val="24"/>
        </w:rPr>
        <w:t>①</w:t>
      </w:r>
      <w:r>
        <w:rPr>
          <w:rFonts w:hint="eastAsia" w:ascii="宋体" w:hAnsi="宋体" w:eastAsia="宋体" w:cs="宋体"/>
          <w:color w:val="auto"/>
          <w:kern w:val="2"/>
          <w:sz w:val="24"/>
          <w:szCs w:val="24"/>
          <w:lang w:val="en-US" w:eastAsia="zh-CN" w:bidi="ar-SA"/>
        </w:rPr>
        <w:t>检查启动释放箱的启动装置(触动、手动)，对无法清洗的老化配件及不符合要求的配件进行更换。</w:t>
      </w:r>
    </w:p>
    <w:p w14:paraId="78CB9A1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sz w:val="24"/>
          <w:szCs w:val="24"/>
        </w:rPr>
        <w:t>②</w:t>
      </w:r>
      <w:r>
        <w:rPr>
          <w:rFonts w:hint="eastAsia" w:ascii="宋体" w:hAnsi="宋体" w:eastAsia="宋体" w:cs="宋体"/>
          <w:color w:val="auto"/>
          <w:kern w:val="2"/>
          <w:sz w:val="24"/>
          <w:szCs w:val="24"/>
          <w:lang w:val="en-US" w:eastAsia="zh-CN" w:bidi="ar-SA"/>
        </w:rPr>
        <w:t>对主控制箱内的氮气瓶的压力、药剂储罐的灭火药剂、压力调试器、药剂输送管道等释放装置进行全面检查测试。</w:t>
      </w:r>
    </w:p>
    <w:p w14:paraId="128F381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kern w:val="2"/>
          <w:sz w:val="24"/>
          <w:szCs w:val="24"/>
          <w:lang w:val="en" w:eastAsia="zh-CN" w:bidi="ar-SA"/>
        </w:rPr>
      </w:pPr>
      <w:r>
        <w:rPr>
          <w:rFonts w:hint="eastAsia" w:ascii="宋体" w:hAnsi="宋体" w:eastAsia="宋体" w:cs="宋体"/>
          <w:color w:val="auto"/>
          <w:sz w:val="24"/>
          <w:szCs w:val="24"/>
        </w:rPr>
        <w:t>③</w:t>
      </w:r>
      <w:r>
        <w:rPr>
          <w:rFonts w:hint="eastAsia" w:ascii="宋体" w:hAnsi="宋体" w:eastAsia="宋体" w:cs="宋体"/>
          <w:color w:val="auto"/>
          <w:kern w:val="2"/>
          <w:sz w:val="24"/>
          <w:szCs w:val="24"/>
          <w:lang w:val="en-US" w:eastAsia="zh-CN" w:bidi="ar-SA"/>
        </w:rPr>
        <w:t>对喷嘴上的橡胶喷嘴保护帽每半年进行一次免费更换。</w:t>
      </w:r>
    </w:p>
    <w:p w14:paraId="577BAD3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④</w:t>
      </w:r>
      <w:r>
        <w:rPr>
          <w:rFonts w:hint="eastAsia" w:ascii="宋体" w:hAnsi="宋体" w:eastAsia="宋体" w:cs="宋体"/>
          <w:color w:val="auto"/>
          <w:kern w:val="2"/>
          <w:sz w:val="24"/>
          <w:szCs w:val="24"/>
          <w:lang w:val="en-US" w:eastAsia="zh-CN" w:bidi="ar-SA"/>
        </w:rPr>
        <w:t>对探头上的易熔片进行拆、洗及安装，需每年对易熔片进行一次免费更换。</w:t>
      </w:r>
    </w:p>
    <w:p w14:paraId="4F47D67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（2）维保周期:①每月巡检一次，进行维护调试，②每半年深度维护保养一次。遇有问题通知后4小时赶到现场。</w:t>
      </w:r>
    </w:p>
    <w:p w14:paraId="0D4717D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（3）如在保养维护时乙方维保人员发生误操作，导致安全事故发生、系统损坏误喷及造成甲方设施设备损坏和损失，一切损失由乙方承担。</w:t>
      </w:r>
    </w:p>
    <w:p w14:paraId="60161BF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（4）</w:t>
      </w:r>
      <w:r>
        <w:rPr>
          <w:rFonts w:hint="eastAsia" w:ascii="宋体" w:hAnsi="宋体" w:eastAsia="宋体" w:cs="宋体"/>
          <w:color w:val="auto"/>
          <w:sz w:val="24"/>
          <w:szCs w:val="24"/>
          <w:lang w:val="en-US" w:eastAsia="zh-CN"/>
        </w:rPr>
        <w:t>单个（次）维修（更换）配件在￥200.00元以下，由乙方承担（不得累计、叠加）。</w:t>
      </w:r>
    </w:p>
    <w:p w14:paraId="39757B86">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highlight w:val="none"/>
          <w:lang w:val="en-US" w:eastAsia="zh-CN"/>
        </w:rPr>
      </w:pPr>
      <w:r>
        <w:rPr>
          <w:rFonts w:hint="eastAsia" w:ascii="宋体" w:hAnsi="宋体" w:eastAsia="宋体" w:cs="宋体"/>
          <w:sz w:val="24"/>
          <w:szCs w:val="24"/>
          <w:highlight w:val="none"/>
          <w:lang w:val="en-US" w:eastAsia="zh-CN"/>
        </w:rPr>
        <w:t>14、</w:t>
      </w:r>
      <w:r>
        <w:rPr>
          <w:rFonts w:hint="eastAsia" w:ascii="宋体" w:hAnsi="宋体" w:cs="宋体"/>
          <w:sz w:val="24"/>
          <w:szCs w:val="24"/>
          <w:highlight w:val="none"/>
          <w:lang w:val="en-US" w:eastAsia="zh-CN"/>
        </w:rPr>
        <w:t>电动车棚及强弱电间灭火弹维保</w:t>
      </w:r>
    </w:p>
    <w:p w14:paraId="184D88E7">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default" w:ascii="宋体" w:hAnsi="宋体" w:cs="宋体"/>
          <w:sz w:val="24"/>
          <w:szCs w:val="24"/>
          <w:highlight w:val="yellow"/>
          <w:lang w:val="en-US" w:eastAsia="zh-CN"/>
        </w:rPr>
      </w:pPr>
      <w:r>
        <w:rPr>
          <w:rFonts w:hint="eastAsia" w:ascii="宋体" w:hAnsi="宋体" w:cs="宋体"/>
          <w:sz w:val="24"/>
          <w:szCs w:val="24"/>
          <w:highlight w:val="none"/>
          <w:lang w:val="en-US" w:eastAsia="zh-CN"/>
        </w:rPr>
        <w:t>对电动车棚及强弱电间灭火弹进行维保，确保符合相关标准。</w:t>
      </w:r>
    </w:p>
    <w:p w14:paraId="5DF23306">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cs="宋体"/>
          <w:sz w:val="24"/>
          <w:szCs w:val="24"/>
          <w:lang w:val="en-US" w:eastAsia="zh-CN"/>
        </w:rPr>
        <w:t>15、</w:t>
      </w:r>
      <w:r>
        <w:rPr>
          <w:rFonts w:hint="eastAsia" w:ascii="宋体" w:hAnsi="宋体" w:eastAsia="宋体" w:cs="宋体"/>
          <w:sz w:val="24"/>
          <w:szCs w:val="24"/>
          <w:lang w:eastAsia="zh-CN"/>
        </w:rPr>
        <w:t>消防设施维护要求</w:t>
      </w:r>
    </w:p>
    <w:p w14:paraId="399A9344">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）按照《建筑消防设施检测技术规程》(XF503-2004)的相关规定要求，做好建筑消防设施的日检、月检、季检、年检工作。</w:t>
      </w:r>
    </w:p>
    <w:p w14:paraId="1CDE922A">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）供应商应在项目开始实施时将维护保养的总体计划，每季度末将下一季度维护保养的季度计划，每月末将下个月维护保养的月计划上报市委保卫处。</w:t>
      </w:r>
    </w:p>
    <w:p w14:paraId="2577CF08">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）对消防设施出现的问题应及时处理，</w:t>
      </w:r>
      <w:r>
        <w:rPr>
          <w:rFonts w:hint="eastAsia" w:ascii="宋体" w:hAnsi="宋体" w:eastAsia="宋体" w:cs="宋体"/>
          <w:sz w:val="24"/>
          <w:szCs w:val="24"/>
          <w:lang w:val="en-US" w:eastAsia="zh-CN"/>
        </w:rPr>
        <w:t>在接到故障申报后20分钟内赶到现场</w:t>
      </w:r>
      <w:r>
        <w:rPr>
          <w:rFonts w:hint="eastAsia" w:ascii="宋体" w:hAnsi="宋体" w:eastAsia="宋体" w:cs="宋体"/>
          <w:sz w:val="24"/>
          <w:szCs w:val="24"/>
          <w:lang w:eastAsia="zh-CN"/>
        </w:rPr>
        <w:t>。供应商在接到故障申报后，当场有条件解决的应当立即解决;没有条件当场解决的，应当在24小时内解决;需要由产品供应商解决的，不影响系统正常工作的应当在5个工作日内解决，影响系统正常工作的应当在2个工作日内解决。</w:t>
      </w:r>
    </w:p>
    <w:p w14:paraId="6D313B8D">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4</w:t>
      </w:r>
      <w:r>
        <w:rPr>
          <w:rFonts w:hint="eastAsia" w:ascii="宋体" w:hAnsi="宋体" w:eastAsia="宋体" w:cs="宋体"/>
          <w:sz w:val="24"/>
          <w:szCs w:val="24"/>
          <w:lang w:eastAsia="zh-CN"/>
        </w:rPr>
        <w:t>）每日安排不少于两名维护人员在楼内巡查，并进行签到登记。</w:t>
      </w:r>
    </w:p>
    <w:p w14:paraId="7F20DB05">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5</w:t>
      </w:r>
      <w:r>
        <w:rPr>
          <w:rFonts w:hint="eastAsia" w:ascii="宋体" w:hAnsi="宋体" w:eastAsia="宋体" w:cs="宋体"/>
          <w:sz w:val="24"/>
          <w:szCs w:val="24"/>
          <w:lang w:eastAsia="zh-CN"/>
        </w:rPr>
        <w:t>）维护人员必须在办公楼内24小时值班。</w:t>
      </w:r>
    </w:p>
    <w:p w14:paraId="175A26AE">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6</w:t>
      </w:r>
      <w:r>
        <w:rPr>
          <w:rFonts w:hint="eastAsia" w:ascii="宋体" w:hAnsi="宋体" w:eastAsia="宋体" w:cs="宋体"/>
          <w:sz w:val="24"/>
          <w:szCs w:val="24"/>
          <w:lang w:eastAsia="zh-CN"/>
        </w:rPr>
        <w:t>）供应商应每年提供消防设施运行状况总结报告，综合评价消防系统的性能及改进措施，并报安全管理部门确认。</w:t>
      </w:r>
    </w:p>
    <w:p w14:paraId="1B978FAE">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7</w:t>
      </w:r>
      <w:r>
        <w:rPr>
          <w:rFonts w:hint="eastAsia" w:ascii="宋体" w:hAnsi="宋体" w:eastAsia="宋体" w:cs="宋体"/>
          <w:sz w:val="24"/>
          <w:szCs w:val="24"/>
          <w:lang w:eastAsia="zh-CN"/>
        </w:rPr>
        <w:t>）保证所有消防系统在合同规定的期限内正常使用。</w:t>
      </w:r>
    </w:p>
    <w:p w14:paraId="4C5410BF">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8</w:t>
      </w:r>
      <w:r>
        <w:rPr>
          <w:rFonts w:hint="eastAsia" w:ascii="宋体" w:hAnsi="宋体" w:eastAsia="宋体" w:cs="宋体"/>
          <w:sz w:val="24"/>
          <w:szCs w:val="24"/>
          <w:lang w:eastAsia="zh-CN"/>
        </w:rPr>
        <w:t>）保证对消防监控室人员进行培训的承诺，需制定培训方案，提供培训教材并制定培训资料。</w:t>
      </w:r>
    </w:p>
    <w:p w14:paraId="0CC8A43F">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9）配备一定数量的符合行业标准质量的常用备品备件(零配件)并提供清单。消防设施维护的检测工具和设备至少需要两套，配置要求须满足《消防监督技术装备配备》(GB25203-2010)和《应急管理部关于印发&lt;消防技术服务机构从业条件&gt;的通知》(应急[2019]88号)有关消防技术服务基础设备配备要求的规定。提供发票及相关证明材料(如检验报告、检验检测机构资质认证证书)。</w:t>
      </w:r>
    </w:p>
    <w:p w14:paraId="457110E5">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10）单个（次）维修（更换）设备在￥2000.00元（不含人工成本）以下，由乙方承担（不得累计、叠加）。对故障设备维修（更换）时，需提交维修（更换）记录单，由甲方代表签字确认后，方可进行维修（更换）设备。更换的设备不能低于原有设备的参数，质保不低于行业标准，并计入设备维修（更换）记录单。</w:t>
      </w:r>
    </w:p>
    <w:p w14:paraId="0A07C798">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11）设施、设备由于维护不及时、保养不当造成的损坏和损失及由此造成的后果，由乙方全部承担。损坏设施设备未能及时报备、维修（更换），除整改外，发现一处进行￥2000.00元（每次）处罚，同时扣除相关考核分。</w:t>
      </w:r>
    </w:p>
    <w:p w14:paraId="12CAF0BE">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sz w:val="24"/>
          <w:szCs w:val="24"/>
          <w:highlight w:val="none"/>
          <w:lang w:eastAsia="zh-CN"/>
        </w:rPr>
      </w:pPr>
      <w:r>
        <w:rPr>
          <w:rFonts w:hint="eastAsia" w:ascii="宋体" w:hAnsi="宋体" w:eastAsia="宋体" w:cs="宋体"/>
          <w:sz w:val="24"/>
          <w:szCs w:val="24"/>
          <w:lang w:val="en-US" w:eastAsia="zh-CN"/>
        </w:rPr>
        <w:t>（12）供应商须在“社会消防技术服务信息系统”及“陕西省消防技术服务全过程监管系统”备案并严格按照要求执行。在主监控室显要位置悬挂建筑消</w:t>
      </w:r>
      <w:r>
        <w:rPr>
          <w:rFonts w:hint="eastAsia" w:ascii="宋体" w:hAnsi="宋体" w:eastAsia="宋体" w:cs="宋体"/>
          <w:sz w:val="24"/>
          <w:szCs w:val="24"/>
          <w:highlight w:val="none"/>
          <w:lang w:val="en-US" w:eastAsia="zh-CN"/>
        </w:rPr>
        <w:t>防设施维护保养公示牌（公示内容包含：项目名称、项目运行实时状态、技术服务机构名称、服务期限、联系电话、项目负责人、技术负责人、照片及证书）。</w:t>
      </w:r>
    </w:p>
    <w:p w14:paraId="7D4C16A4">
      <w:pPr>
        <w:keepNext w:val="0"/>
        <w:keepLines w:val="0"/>
        <w:pageBreakBefore w:val="0"/>
        <w:kinsoku/>
        <w:overflowPunct/>
        <w:topLinePunct w:val="0"/>
        <w:bidi w:val="0"/>
        <w:adjustRightInd w:val="0"/>
        <w:snapToGrid w:val="0"/>
        <w:spacing w:line="360" w:lineRule="auto"/>
        <w:jc w:val="both"/>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3.2服务地点：</w:t>
      </w:r>
      <w:r>
        <w:rPr>
          <w:rFonts w:hint="eastAsia" w:ascii="宋体" w:hAnsi="宋体" w:eastAsia="宋体" w:cs="宋体"/>
          <w:b w:val="0"/>
          <w:bCs w:val="0"/>
          <w:color w:val="auto"/>
          <w:kern w:val="2"/>
          <w:sz w:val="24"/>
          <w:szCs w:val="24"/>
          <w:highlight w:val="none"/>
          <w:lang w:val="en-US" w:eastAsia="zh-CN" w:bidi="ar-SA"/>
        </w:rPr>
        <w:t>中共西安市委办公区（含附属办公区）</w:t>
      </w:r>
    </w:p>
    <w:p w14:paraId="76B3768C">
      <w:pPr>
        <w:keepNext w:val="0"/>
        <w:keepLines w:val="0"/>
        <w:pageBreakBefore w:val="0"/>
        <w:kinsoku/>
        <w:overflowPunct/>
        <w:topLinePunct w:val="0"/>
        <w:bidi w:val="0"/>
        <w:adjustRightInd w:val="0"/>
        <w:snapToGrid w:val="0"/>
        <w:spacing w:line="360" w:lineRule="auto"/>
        <w:jc w:val="both"/>
        <w:rPr>
          <w:rFonts w:hint="eastAsia" w:ascii="宋体" w:hAnsi="宋体" w:eastAsia="宋体" w:cs="宋体"/>
          <w:b/>
          <w:bCs/>
          <w:color w:val="000000"/>
          <w:sz w:val="24"/>
          <w:szCs w:val="24"/>
          <w:highlight w:val="none"/>
          <w:lang w:val="en-US" w:eastAsia="zh-CN"/>
        </w:rPr>
      </w:pPr>
      <w:r>
        <w:rPr>
          <w:rFonts w:hint="eastAsia" w:ascii="宋体" w:hAnsi="宋体" w:eastAsia="宋体" w:cs="宋体"/>
          <w:b/>
          <w:bCs/>
          <w:color w:val="000000"/>
          <w:sz w:val="24"/>
          <w:szCs w:val="24"/>
          <w:highlight w:val="none"/>
        </w:rPr>
        <w:t>4、</w:t>
      </w:r>
      <w:r>
        <w:rPr>
          <w:rFonts w:hint="eastAsia" w:ascii="宋体" w:hAnsi="宋体" w:eastAsia="宋体" w:cs="宋体"/>
          <w:b/>
          <w:bCs/>
          <w:color w:val="000000"/>
          <w:sz w:val="24"/>
          <w:szCs w:val="24"/>
          <w:highlight w:val="none"/>
          <w:lang w:val="en-US" w:eastAsia="zh-CN"/>
        </w:rPr>
        <w:t>付款方式</w:t>
      </w:r>
    </w:p>
    <w:p w14:paraId="19221CBE">
      <w:pPr>
        <w:keepNext w:val="0"/>
        <w:keepLines w:val="0"/>
        <w:pageBreakBefore w:val="0"/>
        <w:kinsoku/>
        <w:overflowPunct/>
        <w:topLinePunct w:val="0"/>
        <w:bidi w:val="0"/>
        <w:adjustRightInd w:val="0"/>
        <w:snapToGrid w:val="0"/>
        <w:spacing w:line="360" w:lineRule="auto"/>
        <w:ind w:firstLine="480" w:firstLineChars="200"/>
        <w:jc w:val="both"/>
        <w:rPr>
          <w:rFonts w:hint="eastAsia" w:ascii="宋体" w:hAnsi="宋体" w:eastAsia="宋体" w:cs="宋体"/>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合同签订后，</w:t>
      </w:r>
      <w:r>
        <w:rPr>
          <w:rFonts w:hint="eastAsia" w:ascii="宋体" w:hAnsi="宋体" w:eastAsia="宋体" w:cs="宋体"/>
          <w:sz w:val="24"/>
          <w:szCs w:val="24"/>
          <w:highlight w:val="none"/>
          <w:lang w:val="en-US" w:eastAsia="zh-CN"/>
        </w:rPr>
        <w:t>每半年支付一次，每半年维保费=</w:t>
      </w:r>
      <w:r>
        <w:rPr>
          <w:rFonts w:hint="eastAsia" w:ascii="宋体" w:hAnsi="宋体" w:cs="宋体"/>
          <w:sz w:val="24"/>
          <w:szCs w:val="24"/>
          <w:highlight w:val="none"/>
          <w:lang w:val="en-US" w:eastAsia="zh-CN"/>
        </w:rPr>
        <w:t>年度维保预算</w:t>
      </w:r>
      <w:r>
        <w:rPr>
          <w:rFonts w:hint="eastAsia" w:ascii="宋体" w:hAnsi="宋体" w:eastAsia="宋体" w:cs="宋体"/>
          <w:sz w:val="24"/>
          <w:szCs w:val="24"/>
          <w:highlight w:val="none"/>
          <w:lang w:val="en-US" w:eastAsia="zh-CN"/>
        </w:rPr>
        <w:t>总价÷2。每季度结束后5日内乙方向甲方出具季检的自检报告，经甲方验收通过。上半年服务内容完成后，甲方依据两个季度的验收情况，及时支付上半年的维保服务费用。全年所有服务内容完成并验收合格后，支付下半年的维保服务费</w:t>
      </w:r>
      <w:r>
        <w:rPr>
          <w:rFonts w:hint="eastAsia" w:ascii="宋体" w:hAnsi="宋体" w:eastAsia="宋体" w:cs="宋体"/>
          <w:b/>
          <w:bCs/>
          <w:color w:val="000000"/>
          <w:sz w:val="24"/>
          <w:szCs w:val="24"/>
          <w:highlight w:val="none"/>
          <w:lang w:val="en-US" w:eastAsia="zh-CN"/>
        </w:rPr>
        <w:t>。</w:t>
      </w:r>
    </w:p>
    <w:p w14:paraId="4B5FD357">
      <w:pPr>
        <w:keepNext w:val="0"/>
        <w:keepLines w:val="0"/>
        <w:pageBreakBefore w:val="0"/>
        <w:kinsoku/>
        <w:overflowPunct/>
        <w:topLinePunct w:val="0"/>
        <w:bidi w:val="0"/>
        <w:adjustRightInd w:val="0"/>
        <w:snapToGrid w:val="0"/>
        <w:spacing w:line="360" w:lineRule="auto"/>
        <w:jc w:val="both"/>
        <w:rPr>
          <w:rFonts w:hint="eastAsia" w:ascii="宋体" w:hAnsi="宋体" w:eastAsia="宋体" w:cs="宋体"/>
          <w:bCs/>
          <w:sz w:val="24"/>
          <w:szCs w:val="24"/>
          <w:highlight w:val="none"/>
        </w:rPr>
      </w:pPr>
      <w:r>
        <w:rPr>
          <w:rFonts w:hint="eastAsia" w:ascii="宋体" w:hAnsi="宋体" w:eastAsia="宋体" w:cs="宋体"/>
          <w:b/>
          <w:sz w:val="24"/>
          <w:szCs w:val="24"/>
          <w:highlight w:val="none"/>
        </w:rPr>
        <w:t>5、合同组成</w:t>
      </w:r>
      <w:r>
        <w:rPr>
          <w:rFonts w:hint="eastAsia" w:ascii="宋体" w:hAnsi="宋体" w:eastAsia="宋体" w:cs="宋体"/>
          <w:bCs/>
          <w:sz w:val="24"/>
          <w:szCs w:val="24"/>
          <w:highlight w:val="none"/>
        </w:rPr>
        <w:t xml:space="preserve"> </w:t>
      </w:r>
    </w:p>
    <w:p w14:paraId="52ACEFE7">
      <w:pPr>
        <w:keepNext w:val="0"/>
        <w:keepLines w:val="0"/>
        <w:pageBreakBefore w:val="0"/>
        <w:kinsoku/>
        <w:overflowPunct/>
        <w:topLinePunct w:val="0"/>
        <w:bidi w:val="0"/>
        <w:adjustRightInd w:val="0"/>
        <w:snapToGrid w:val="0"/>
        <w:spacing w:line="360" w:lineRule="auto"/>
        <w:ind w:firstLine="480" w:firstLineChars="200"/>
        <w:jc w:val="both"/>
        <w:rPr>
          <w:rFonts w:hint="eastAsia" w:ascii="宋体" w:hAnsi="宋体" w:eastAsia="宋体" w:cs="宋体"/>
          <w:bCs/>
          <w:sz w:val="24"/>
          <w:szCs w:val="24"/>
          <w:highlight w:val="none"/>
        </w:rPr>
      </w:pPr>
      <w:r>
        <w:rPr>
          <w:rFonts w:hint="eastAsia" w:ascii="宋体" w:hAnsi="宋体" w:eastAsia="宋体" w:cs="宋体"/>
          <w:bCs/>
          <w:sz w:val="24"/>
          <w:szCs w:val="24"/>
          <w:highlight w:val="none"/>
        </w:rPr>
        <w:t>合同文件、</w:t>
      </w:r>
      <w:r>
        <w:rPr>
          <w:rFonts w:hint="eastAsia" w:ascii="宋体" w:hAnsi="宋体" w:cs="宋体"/>
          <w:bCs/>
          <w:sz w:val="24"/>
          <w:szCs w:val="24"/>
          <w:highlight w:val="none"/>
          <w:lang w:eastAsia="zh-CN"/>
        </w:rPr>
        <w:t>磋商文件</w:t>
      </w:r>
      <w:r>
        <w:rPr>
          <w:rFonts w:hint="eastAsia" w:ascii="宋体" w:hAnsi="宋体" w:eastAsia="宋体" w:cs="宋体"/>
          <w:bCs/>
          <w:sz w:val="24"/>
          <w:szCs w:val="24"/>
          <w:highlight w:val="none"/>
        </w:rPr>
        <w:t>、</w:t>
      </w:r>
      <w:r>
        <w:rPr>
          <w:rFonts w:hint="eastAsia" w:ascii="宋体" w:hAnsi="宋体" w:cs="宋体"/>
          <w:bCs/>
          <w:sz w:val="24"/>
          <w:szCs w:val="24"/>
          <w:highlight w:val="none"/>
          <w:lang w:val="en-US" w:eastAsia="zh-CN"/>
        </w:rPr>
        <w:t>磋商响应文件</w:t>
      </w:r>
      <w:r>
        <w:rPr>
          <w:rFonts w:hint="eastAsia" w:ascii="宋体" w:hAnsi="宋体" w:eastAsia="宋体" w:cs="宋体"/>
          <w:bCs/>
          <w:sz w:val="24"/>
          <w:szCs w:val="24"/>
          <w:highlight w:val="none"/>
        </w:rPr>
        <w:t>、</w:t>
      </w:r>
      <w:r>
        <w:rPr>
          <w:rFonts w:hint="eastAsia" w:ascii="宋体" w:hAnsi="宋体" w:cs="宋体"/>
          <w:bCs/>
          <w:sz w:val="24"/>
          <w:szCs w:val="24"/>
          <w:highlight w:val="none"/>
          <w:lang w:val="en-US" w:eastAsia="zh-CN"/>
        </w:rPr>
        <w:t>成交</w:t>
      </w:r>
      <w:r>
        <w:rPr>
          <w:rFonts w:hint="eastAsia" w:ascii="宋体" w:hAnsi="宋体" w:eastAsia="宋体" w:cs="宋体"/>
          <w:bCs/>
          <w:sz w:val="24"/>
          <w:szCs w:val="24"/>
          <w:highlight w:val="none"/>
          <w:lang w:val="en-US" w:eastAsia="zh-CN"/>
        </w:rPr>
        <w:t>通知书及</w:t>
      </w:r>
      <w:r>
        <w:rPr>
          <w:rFonts w:hint="eastAsia" w:ascii="宋体" w:hAnsi="宋体" w:eastAsia="宋体" w:cs="宋体"/>
          <w:bCs/>
          <w:sz w:val="24"/>
          <w:szCs w:val="24"/>
          <w:highlight w:val="none"/>
        </w:rPr>
        <w:t xml:space="preserve">国家相关规范及标准等。 </w:t>
      </w:r>
    </w:p>
    <w:bookmarkEnd w:id="0"/>
    <w:bookmarkEnd w:id="1"/>
    <w:bookmarkEnd w:id="2"/>
    <w:bookmarkEnd w:id="3"/>
    <w:p w14:paraId="08C9CF41">
      <w:pPr>
        <w:keepNext w:val="0"/>
        <w:keepLines w:val="0"/>
        <w:pageBreakBefore w:val="0"/>
        <w:numPr>
          <w:ilvl w:val="0"/>
          <w:numId w:val="0"/>
        </w:numPr>
        <w:kinsoku/>
        <w:overflowPunct/>
        <w:topLinePunct w:val="0"/>
        <w:bidi w:val="0"/>
        <w:adjustRightInd w:val="0"/>
        <w:snapToGrid w:val="0"/>
        <w:spacing w:line="360" w:lineRule="auto"/>
        <w:jc w:val="both"/>
        <w:rPr>
          <w:rFonts w:hint="eastAsia" w:ascii="宋体" w:hAnsi="宋体" w:eastAsia="宋体" w:cs="宋体"/>
          <w:b/>
          <w:sz w:val="24"/>
          <w:szCs w:val="24"/>
          <w:highlight w:val="none"/>
          <w:lang w:val="en-US" w:eastAsia="zh-CN"/>
        </w:rPr>
      </w:pPr>
      <w:r>
        <w:rPr>
          <w:rFonts w:hint="eastAsia" w:ascii="宋体" w:hAnsi="宋体" w:eastAsia="宋体" w:cs="宋体"/>
          <w:b/>
          <w:sz w:val="24"/>
          <w:szCs w:val="24"/>
          <w:highlight w:val="none"/>
        </w:rPr>
        <w:t>6、</w:t>
      </w:r>
      <w:r>
        <w:rPr>
          <w:rFonts w:hint="eastAsia" w:ascii="宋体" w:hAnsi="宋体" w:eastAsia="宋体" w:cs="宋体"/>
          <w:b/>
          <w:sz w:val="24"/>
          <w:szCs w:val="24"/>
          <w:highlight w:val="none"/>
          <w:lang w:val="en-US" w:eastAsia="zh-CN"/>
        </w:rPr>
        <w:t>双方的权利和义务</w:t>
      </w:r>
    </w:p>
    <w:p w14:paraId="7B5A5AE3">
      <w:pPr>
        <w:keepNext w:val="0"/>
        <w:keepLines w:val="0"/>
        <w:pageBreakBefore w:val="0"/>
        <w:numPr>
          <w:ilvl w:val="0"/>
          <w:numId w:val="0"/>
        </w:numPr>
        <w:kinsoku/>
        <w:overflowPunct/>
        <w:topLinePunct w:val="0"/>
        <w:bidi w:val="0"/>
        <w:adjustRightInd w:val="0"/>
        <w:snapToGrid w:val="0"/>
        <w:spacing w:line="360" w:lineRule="auto"/>
        <w:jc w:val="both"/>
        <w:rPr>
          <w:rFonts w:hint="eastAsia" w:ascii="宋体" w:hAnsi="宋体" w:eastAsia="宋体" w:cs="宋体"/>
          <w:b w:val="0"/>
          <w:bCs/>
          <w:sz w:val="24"/>
          <w:szCs w:val="24"/>
          <w:highlight w:val="none"/>
          <w:lang w:val="en-US" w:eastAsia="zh-CN"/>
        </w:rPr>
      </w:pPr>
      <w:r>
        <w:rPr>
          <w:rFonts w:hint="eastAsia" w:ascii="宋体" w:hAnsi="宋体" w:eastAsia="宋体" w:cs="宋体"/>
          <w:b w:val="0"/>
          <w:bCs/>
          <w:sz w:val="24"/>
          <w:szCs w:val="24"/>
          <w:highlight w:val="none"/>
          <w:lang w:val="en-US" w:eastAsia="zh-CN"/>
        </w:rPr>
        <w:t>6.1甲方的权利和义务</w:t>
      </w:r>
    </w:p>
    <w:p w14:paraId="2BCF059D">
      <w:pPr>
        <w:keepNext w:val="0"/>
        <w:keepLines w:val="0"/>
        <w:pageBreakBefore w:val="0"/>
        <w:numPr>
          <w:ilvl w:val="0"/>
          <w:numId w:val="0"/>
        </w:numPr>
        <w:kinsoku/>
        <w:overflowPunct/>
        <w:topLinePunct w:val="0"/>
        <w:bidi w:val="0"/>
        <w:adjustRightInd w:val="0"/>
        <w:snapToGrid w:val="0"/>
        <w:spacing w:line="360" w:lineRule="auto"/>
        <w:ind w:left="0" w:leftChars="0" w:firstLine="480" w:firstLineChars="200"/>
        <w:jc w:val="both"/>
        <w:rPr>
          <w:rFonts w:hint="eastAsia" w:ascii="宋体" w:hAnsi="宋体" w:eastAsia="宋体" w:cs="宋体"/>
          <w:b w:val="0"/>
          <w:bCs/>
          <w:sz w:val="24"/>
          <w:szCs w:val="24"/>
          <w:highlight w:val="none"/>
          <w:lang w:val="en-US" w:eastAsia="zh-CN"/>
        </w:rPr>
      </w:pPr>
      <w:r>
        <w:rPr>
          <w:rFonts w:hint="eastAsia" w:ascii="宋体" w:hAnsi="宋体" w:eastAsia="宋体" w:cs="宋体"/>
          <w:b w:val="0"/>
          <w:bCs/>
          <w:sz w:val="24"/>
          <w:szCs w:val="24"/>
          <w:highlight w:val="none"/>
          <w:lang w:val="en-US" w:eastAsia="zh-CN"/>
        </w:rPr>
        <w:t>（1）甲方有权对合同规定范围内乙方的服务行为进行监督和检查，拥有监管权。有权定期核对乙方提供服务所配备的人员数量。对甲方认为不合理的部分有权下达整改通知书，并要求乙方限期整改。甲方有权依据双方签订的考评办法对乙方提供的服务进行考评。当考评结果未达到标准时，有权依据考评办法约定的数额扣除履约保证金。</w:t>
      </w:r>
    </w:p>
    <w:p w14:paraId="698BDB4F">
      <w:pPr>
        <w:keepNext w:val="0"/>
        <w:keepLines w:val="0"/>
        <w:pageBreakBefore w:val="0"/>
        <w:numPr>
          <w:ilvl w:val="0"/>
          <w:numId w:val="0"/>
        </w:numPr>
        <w:kinsoku/>
        <w:overflowPunct/>
        <w:topLinePunct w:val="0"/>
        <w:bidi w:val="0"/>
        <w:adjustRightInd w:val="0"/>
        <w:snapToGrid w:val="0"/>
        <w:spacing w:line="360" w:lineRule="auto"/>
        <w:ind w:left="0" w:leftChars="0" w:firstLine="480" w:firstLineChars="200"/>
        <w:jc w:val="both"/>
        <w:rPr>
          <w:rFonts w:hint="eastAsia" w:ascii="宋体" w:hAnsi="宋体" w:eastAsia="宋体" w:cs="宋体"/>
          <w:b w:val="0"/>
          <w:bCs/>
          <w:sz w:val="24"/>
          <w:szCs w:val="24"/>
          <w:highlight w:val="none"/>
          <w:lang w:val="en-US" w:eastAsia="zh-CN"/>
        </w:rPr>
      </w:pPr>
      <w:r>
        <w:rPr>
          <w:rFonts w:hint="eastAsia" w:ascii="宋体" w:hAnsi="宋体" w:eastAsia="宋体" w:cs="宋体"/>
          <w:b w:val="0"/>
          <w:bCs/>
          <w:sz w:val="24"/>
          <w:szCs w:val="24"/>
          <w:highlight w:val="none"/>
          <w:lang w:val="en-US" w:eastAsia="zh-CN"/>
        </w:rPr>
        <w:t>（2）甲方为乙方维修提供必要的工作条件（按甲方的管理规定和制度执行）。</w:t>
      </w:r>
    </w:p>
    <w:p w14:paraId="78340AEB">
      <w:pPr>
        <w:keepNext w:val="0"/>
        <w:keepLines w:val="0"/>
        <w:pageBreakBefore w:val="0"/>
        <w:numPr>
          <w:ilvl w:val="0"/>
          <w:numId w:val="0"/>
        </w:numPr>
        <w:kinsoku/>
        <w:overflowPunct/>
        <w:topLinePunct w:val="0"/>
        <w:bidi w:val="0"/>
        <w:adjustRightInd w:val="0"/>
        <w:snapToGrid w:val="0"/>
        <w:spacing w:line="360" w:lineRule="auto"/>
        <w:ind w:left="0" w:leftChars="0" w:firstLine="480" w:firstLineChars="200"/>
        <w:jc w:val="both"/>
        <w:rPr>
          <w:rFonts w:hint="eastAsia" w:ascii="宋体" w:hAnsi="宋体" w:eastAsia="宋体" w:cs="宋体"/>
          <w:b w:val="0"/>
          <w:bCs/>
          <w:sz w:val="24"/>
          <w:szCs w:val="24"/>
          <w:highlight w:val="none"/>
          <w:lang w:val="en-US" w:eastAsia="zh-CN"/>
        </w:rPr>
      </w:pPr>
      <w:r>
        <w:rPr>
          <w:rFonts w:hint="eastAsia" w:ascii="宋体" w:hAnsi="宋体" w:eastAsia="宋体" w:cs="宋体"/>
          <w:b w:val="0"/>
          <w:bCs/>
          <w:sz w:val="24"/>
          <w:szCs w:val="24"/>
          <w:highlight w:val="none"/>
          <w:lang w:val="en-US" w:eastAsia="zh-CN"/>
        </w:rPr>
        <w:t>（3）甲方按合同约定，及时向乙方支付维保服务费。</w:t>
      </w:r>
    </w:p>
    <w:p w14:paraId="5E5A3A43">
      <w:pPr>
        <w:keepNext w:val="0"/>
        <w:keepLines w:val="0"/>
        <w:pageBreakBefore w:val="0"/>
        <w:numPr>
          <w:ilvl w:val="0"/>
          <w:numId w:val="0"/>
        </w:numPr>
        <w:kinsoku/>
        <w:overflowPunct/>
        <w:topLinePunct w:val="0"/>
        <w:bidi w:val="0"/>
        <w:adjustRightInd w:val="0"/>
        <w:snapToGrid w:val="0"/>
        <w:spacing w:line="360" w:lineRule="auto"/>
        <w:ind w:left="0" w:leftChars="0" w:firstLine="480" w:firstLineChars="200"/>
        <w:jc w:val="both"/>
        <w:rPr>
          <w:rFonts w:hint="eastAsia" w:ascii="宋体" w:hAnsi="宋体" w:eastAsia="宋体" w:cs="宋体"/>
          <w:b w:val="0"/>
          <w:bCs/>
          <w:sz w:val="24"/>
          <w:szCs w:val="24"/>
          <w:highlight w:val="none"/>
          <w:lang w:val="en-US" w:eastAsia="zh-CN"/>
        </w:rPr>
      </w:pPr>
      <w:r>
        <w:rPr>
          <w:rFonts w:hint="eastAsia" w:ascii="宋体" w:hAnsi="宋体" w:eastAsia="宋体" w:cs="宋体"/>
          <w:b w:val="0"/>
          <w:bCs/>
          <w:sz w:val="24"/>
          <w:szCs w:val="24"/>
          <w:highlight w:val="none"/>
          <w:lang w:val="en-US" w:eastAsia="zh-CN"/>
        </w:rPr>
        <w:t>（4）甲方对乙方的月检报告等，指定专人负责核对签字，双方存档备查。</w:t>
      </w:r>
    </w:p>
    <w:p w14:paraId="629968EF">
      <w:pPr>
        <w:keepNext w:val="0"/>
        <w:keepLines w:val="0"/>
        <w:pageBreakBefore w:val="0"/>
        <w:numPr>
          <w:ilvl w:val="0"/>
          <w:numId w:val="0"/>
        </w:numPr>
        <w:kinsoku/>
        <w:overflowPunct/>
        <w:topLinePunct w:val="0"/>
        <w:bidi w:val="0"/>
        <w:adjustRightInd w:val="0"/>
        <w:snapToGrid w:val="0"/>
        <w:spacing w:line="360" w:lineRule="auto"/>
        <w:ind w:left="0" w:leftChars="0" w:firstLine="480" w:firstLineChars="200"/>
        <w:jc w:val="both"/>
        <w:rPr>
          <w:rFonts w:hint="eastAsia" w:ascii="宋体" w:hAnsi="宋体" w:eastAsia="宋体" w:cs="宋体"/>
          <w:b w:val="0"/>
          <w:bCs/>
          <w:sz w:val="24"/>
          <w:szCs w:val="24"/>
          <w:highlight w:val="none"/>
          <w:lang w:val="en-US" w:eastAsia="zh-CN"/>
        </w:rPr>
      </w:pPr>
      <w:r>
        <w:rPr>
          <w:rFonts w:hint="eastAsia" w:ascii="宋体" w:hAnsi="宋体" w:eastAsia="宋体" w:cs="宋体"/>
          <w:b w:val="0"/>
          <w:bCs/>
          <w:sz w:val="24"/>
          <w:szCs w:val="24"/>
          <w:highlight w:val="none"/>
          <w:lang w:val="en-US" w:eastAsia="zh-CN"/>
        </w:rPr>
        <w:t>（5）配合乙方与原维保单位的交接工作。</w:t>
      </w:r>
    </w:p>
    <w:p w14:paraId="2B87ED8B">
      <w:pPr>
        <w:keepNext w:val="0"/>
        <w:keepLines w:val="0"/>
        <w:pageBreakBefore w:val="0"/>
        <w:numPr>
          <w:ilvl w:val="0"/>
          <w:numId w:val="0"/>
        </w:numPr>
        <w:kinsoku/>
        <w:overflowPunct/>
        <w:topLinePunct w:val="0"/>
        <w:bidi w:val="0"/>
        <w:adjustRightInd w:val="0"/>
        <w:snapToGrid w:val="0"/>
        <w:spacing w:line="360" w:lineRule="auto"/>
        <w:jc w:val="both"/>
        <w:rPr>
          <w:rFonts w:hint="eastAsia" w:ascii="宋体" w:hAnsi="宋体" w:eastAsia="宋体" w:cs="宋体"/>
          <w:b w:val="0"/>
          <w:bCs/>
          <w:sz w:val="24"/>
          <w:szCs w:val="24"/>
          <w:highlight w:val="none"/>
          <w:lang w:val="en-US" w:eastAsia="zh-CN"/>
        </w:rPr>
      </w:pPr>
      <w:r>
        <w:rPr>
          <w:rFonts w:hint="eastAsia" w:ascii="宋体" w:hAnsi="宋体" w:eastAsia="宋体" w:cs="宋体"/>
          <w:b w:val="0"/>
          <w:bCs/>
          <w:sz w:val="24"/>
          <w:szCs w:val="24"/>
          <w:highlight w:val="none"/>
          <w:lang w:val="en-US" w:eastAsia="zh-CN"/>
        </w:rPr>
        <w:t>6.2乙方的权利和义务</w:t>
      </w:r>
    </w:p>
    <w:p w14:paraId="1DA92306">
      <w:pPr>
        <w:keepNext w:val="0"/>
        <w:keepLines w:val="0"/>
        <w:pageBreakBefore w:val="0"/>
        <w:numPr>
          <w:ilvl w:val="0"/>
          <w:numId w:val="0"/>
        </w:numPr>
        <w:kinsoku/>
        <w:overflowPunct/>
        <w:topLinePunct w:val="0"/>
        <w:bidi w:val="0"/>
        <w:adjustRightInd w:val="0"/>
        <w:snapToGrid w:val="0"/>
        <w:spacing w:line="360" w:lineRule="auto"/>
        <w:ind w:left="0" w:leftChars="0" w:firstLine="480" w:firstLineChars="200"/>
        <w:jc w:val="both"/>
        <w:rPr>
          <w:rFonts w:hint="eastAsia" w:ascii="宋体" w:hAnsi="宋体" w:eastAsia="宋体" w:cs="宋体"/>
          <w:b w:val="0"/>
          <w:bCs/>
          <w:sz w:val="24"/>
          <w:szCs w:val="24"/>
          <w:highlight w:val="none"/>
          <w:lang w:val="en-US" w:eastAsia="zh-CN"/>
        </w:rPr>
      </w:pPr>
      <w:r>
        <w:rPr>
          <w:rFonts w:hint="eastAsia" w:ascii="宋体" w:hAnsi="宋体" w:eastAsia="宋体" w:cs="宋体"/>
          <w:b w:val="0"/>
          <w:bCs/>
          <w:sz w:val="24"/>
          <w:szCs w:val="24"/>
          <w:highlight w:val="none"/>
          <w:lang w:eastAsia="zh-CN"/>
        </w:rPr>
        <w:t>（</w:t>
      </w:r>
      <w:r>
        <w:rPr>
          <w:rFonts w:hint="eastAsia" w:ascii="宋体" w:hAnsi="宋体" w:eastAsia="宋体" w:cs="宋体"/>
          <w:b w:val="0"/>
          <w:bCs/>
          <w:sz w:val="24"/>
          <w:szCs w:val="24"/>
          <w:highlight w:val="none"/>
          <w:lang w:val="en-US" w:eastAsia="zh-CN"/>
        </w:rPr>
        <w:t>1</w:t>
      </w:r>
      <w:r>
        <w:rPr>
          <w:rFonts w:hint="eastAsia" w:ascii="宋体" w:hAnsi="宋体" w:eastAsia="宋体" w:cs="宋体"/>
          <w:b w:val="0"/>
          <w:bCs/>
          <w:sz w:val="24"/>
          <w:szCs w:val="24"/>
          <w:highlight w:val="none"/>
          <w:lang w:eastAsia="zh-CN"/>
        </w:rPr>
        <w:t>）</w:t>
      </w:r>
      <w:r>
        <w:rPr>
          <w:rFonts w:hint="eastAsia" w:ascii="宋体" w:hAnsi="宋体" w:eastAsia="宋体" w:cs="宋体"/>
          <w:b w:val="0"/>
          <w:bCs/>
          <w:sz w:val="24"/>
          <w:szCs w:val="24"/>
          <w:highlight w:val="none"/>
          <w:lang w:val="en-US" w:eastAsia="zh-CN"/>
        </w:rPr>
        <w:t>乙方对甲方在机关办公区内的消防维保工作全权负责。</w:t>
      </w:r>
    </w:p>
    <w:p w14:paraId="5CCDFEBF">
      <w:pPr>
        <w:keepNext w:val="0"/>
        <w:keepLines w:val="0"/>
        <w:pageBreakBefore w:val="0"/>
        <w:numPr>
          <w:ilvl w:val="0"/>
          <w:numId w:val="0"/>
        </w:numPr>
        <w:kinsoku/>
        <w:overflowPunct/>
        <w:topLinePunct w:val="0"/>
        <w:bidi w:val="0"/>
        <w:adjustRightInd w:val="0"/>
        <w:snapToGrid w:val="0"/>
        <w:spacing w:line="360" w:lineRule="auto"/>
        <w:ind w:left="0" w:leftChars="0" w:firstLine="480" w:firstLineChars="200"/>
        <w:jc w:val="both"/>
        <w:rPr>
          <w:rFonts w:hint="eastAsia" w:ascii="宋体" w:hAnsi="宋体" w:eastAsia="宋体" w:cs="宋体"/>
          <w:b w:val="0"/>
          <w:bCs/>
          <w:sz w:val="24"/>
          <w:szCs w:val="24"/>
          <w:highlight w:val="none"/>
          <w:lang w:val="en-US" w:eastAsia="zh-CN"/>
        </w:rPr>
      </w:pPr>
      <w:r>
        <w:rPr>
          <w:rFonts w:hint="eastAsia" w:ascii="宋体" w:hAnsi="宋体" w:eastAsia="宋体" w:cs="宋体"/>
          <w:b w:val="0"/>
          <w:bCs/>
          <w:sz w:val="24"/>
          <w:szCs w:val="24"/>
          <w:highlight w:val="none"/>
          <w:lang w:val="en-US" w:eastAsia="zh-CN"/>
        </w:rPr>
        <w:t>（2）提供紧急故障处理和意外事件技术性服务。</w:t>
      </w:r>
    </w:p>
    <w:p w14:paraId="4E6E4E68">
      <w:pPr>
        <w:keepNext w:val="0"/>
        <w:keepLines w:val="0"/>
        <w:pageBreakBefore w:val="0"/>
        <w:numPr>
          <w:ilvl w:val="0"/>
          <w:numId w:val="0"/>
        </w:numPr>
        <w:kinsoku/>
        <w:overflowPunct/>
        <w:topLinePunct w:val="0"/>
        <w:bidi w:val="0"/>
        <w:adjustRightInd w:val="0"/>
        <w:snapToGrid w:val="0"/>
        <w:spacing w:line="360" w:lineRule="auto"/>
        <w:ind w:left="0" w:leftChars="0" w:firstLine="480" w:firstLineChars="200"/>
        <w:jc w:val="both"/>
        <w:rPr>
          <w:rFonts w:hint="eastAsia" w:ascii="宋体" w:hAnsi="宋体" w:eastAsia="宋体" w:cs="宋体"/>
          <w:b w:val="0"/>
          <w:bCs/>
          <w:sz w:val="24"/>
          <w:szCs w:val="24"/>
          <w:highlight w:val="none"/>
          <w:lang w:val="en-US" w:eastAsia="zh-CN"/>
        </w:rPr>
      </w:pPr>
      <w:r>
        <w:rPr>
          <w:rFonts w:hint="eastAsia" w:ascii="宋体" w:hAnsi="宋体" w:eastAsia="宋体" w:cs="宋体"/>
          <w:b w:val="0"/>
          <w:bCs/>
          <w:sz w:val="24"/>
          <w:szCs w:val="24"/>
          <w:highlight w:val="none"/>
          <w:lang w:val="en-US" w:eastAsia="zh-CN"/>
        </w:rPr>
        <w:t>（3）对所承担维修保养的消防系统定期测试维修保养。严格按照国家有关规定开展每月例检，每月设施设备系统的保养检修等工作，使消防系统设施设备处于良好运行状态。</w:t>
      </w:r>
    </w:p>
    <w:p w14:paraId="5EE683B7">
      <w:pPr>
        <w:keepNext w:val="0"/>
        <w:keepLines w:val="0"/>
        <w:pageBreakBefore w:val="0"/>
        <w:numPr>
          <w:ilvl w:val="0"/>
          <w:numId w:val="0"/>
        </w:numPr>
        <w:kinsoku/>
        <w:overflowPunct/>
        <w:topLinePunct w:val="0"/>
        <w:bidi w:val="0"/>
        <w:adjustRightInd w:val="0"/>
        <w:snapToGrid w:val="0"/>
        <w:spacing w:line="360" w:lineRule="auto"/>
        <w:ind w:left="0" w:leftChars="0" w:firstLine="480" w:firstLineChars="200"/>
        <w:jc w:val="both"/>
        <w:rPr>
          <w:rFonts w:hint="eastAsia" w:ascii="宋体" w:hAnsi="宋体" w:eastAsia="宋体" w:cs="宋体"/>
          <w:b w:val="0"/>
          <w:bCs/>
          <w:sz w:val="24"/>
          <w:szCs w:val="24"/>
          <w:highlight w:val="none"/>
          <w:lang w:val="en-US" w:eastAsia="zh-CN"/>
        </w:rPr>
      </w:pPr>
      <w:r>
        <w:rPr>
          <w:rFonts w:hint="eastAsia" w:ascii="宋体" w:hAnsi="宋体" w:eastAsia="宋体" w:cs="宋体"/>
          <w:b w:val="0"/>
          <w:bCs/>
          <w:sz w:val="24"/>
          <w:szCs w:val="24"/>
          <w:highlight w:val="none"/>
          <w:lang w:val="en-US" w:eastAsia="zh-CN"/>
        </w:rPr>
        <w:t>（4）乙方应做好本项目消防系统运行、维护记录的相关资料，同时报甲方存档。</w:t>
      </w:r>
    </w:p>
    <w:p w14:paraId="386E8435">
      <w:pPr>
        <w:keepNext w:val="0"/>
        <w:keepLines w:val="0"/>
        <w:pageBreakBefore w:val="0"/>
        <w:numPr>
          <w:ilvl w:val="0"/>
          <w:numId w:val="0"/>
        </w:numPr>
        <w:kinsoku/>
        <w:overflowPunct/>
        <w:topLinePunct w:val="0"/>
        <w:bidi w:val="0"/>
        <w:adjustRightInd w:val="0"/>
        <w:snapToGrid w:val="0"/>
        <w:spacing w:line="360" w:lineRule="auto"/>
        <w:ind w:left="0" w:leftChars="0" w:firstLine="480" w:firstLineChars="200"/>
        <w:jc w:val="both"/>
        <w:rPr>
          <w:rFonts w:hint="eastAsia" w:ascii="宋体" w:hAnsi="宋体" w:eastAsia="宋体" w:cs="宋体"/>
          <w:b w:val="0"/>
          <w:bCs/>
          <w:sz w:val="24"/>
          <w:szCs w:val="24"/>
          <w:highlight w:val="none"/>
          <w:lang w:val="en-US" w:eastAsia="zh-CN"/>
        </w:rPr>
      </w:pPr>
      <w:r>
        <w:rPr>
          <w:rFonts w:hint="eastAsia" w:ascii="宋体" w:hAnsi="宋体" w:eastAsia="宋体" w:cs="宋体"/>
          <w:b w:val="0"/>
          <w:bCs/>
          <w:sz w:val="24"/>
          <w:szCs w:val="24"/>
          <w:highlight w:val="none"/>
          <w:lang w:val="en-US" w:eastAsia="zh-CN"/>
        </w:rPr>
        <w:t>（5）乙方在每次完成维保服务退场时，负责清理有关工作场所。</w:t>
      </w:r>
    </w:p>
    <w:p w14:paraId="1DE7A25A">
      <w:pPr>
        <w:keepNext w:val="0"/>
        <w:keepLines w:val="0"/>
        <w:pageBreakBefore w:val="0"/>
        <w:numPr>
          <w:ilvl w:val="0"/>
          <w:numId w:val="0"/>
        </w:numPr>
        <w:kinsoku/>
        <w:overflowPunct/>
        <w:topLinePunct w:val="0"/>
        <w:bidi w:val="0"/>
        <w:adjustRightInd w:val="0"/>
        <w:snapToGrid w:val="0"/>
        <w:spacing w:line="360" w:lineRule="auto"/>
        <w:ind w:left="0" w:leftChars="0" w:firstLine="480" w:firstLineChars="200"/>
        <w:jc w:val="both"/>
        <w:rPr>
          <w:rFonts w:hint="eastAsia" w:ascii="宋体" w:hAnsi="宋体" w:eastAsia="宋体" w:cs="宋体"/>
          <w:b w:val="0"/>
          <w:bCs/>
          <w:sz w:val="24"/>
          <w:szCs w:val="24"/>
          <w:highlight w:val="none"/>
          <w:lang w:val="en-US" w:eastAsia="zh-CN"/>
        </w:rPr>
      </w:pPr>
      <w:r>
        <w:rPr>
          <w:rFonts w:hint="eastAsia" w:ascii="宋体" w:hAnsi="宋体" w:eastAsia="宋体" w:cs="宋体"/>
          <w:b w:val="0"/>
          <w:bCs/>
          <w:sz w:val="24"/>
          <w:szCs w:val="24"/>
          <w:highlight w:val="none"/>
          <w:lang w:val="en-US" w:eastAsia="zh-CN"/>
        </w:rPr>
        <w:t>（6）乙方每日如实填写《消防控制室值班记录》和《建筑消防设施巡查记录》，确保消防系统正常运行。</w:t>
      </w:r>
    </w:p>
    <w:p w14:paraId="21517358">
      <w:pPr>
        <w:keepNext w:val="0"/>
        <w:keepLines w:val="0"/>
        <w:pageBreakBefore w:val="0"/>
        <w:numPr>
          <w:ilvl w:val="0"/>
          <w:numId w:val="0"/>
        </w:numPr>
        <w:kinsoku/>
        <w:overflowPunct/>
        <w:topLinePunct w:val="0"/>
        <w:bidi w:val="0"/>
        <w:adjustRightInd w:val="0"/>
        <w:snapToGrid w:val="0"/>
        <w:spacing w:line="360" w:lineRule="auto"/>
        <w:ind w:left="0" w:leftChars="0" w:firstLine="480" w:firstLineChars="200"/>
        <w:jc w:val="both"/>
        <w:rPr>
          <w:rFonts w:hint="eastAsia" w:ascii="宋体" w:hAnsi="宋体" w:eastAsia="宋体" w:cs="宋体"/>
          <w:b w:val="0"/>
          <w:bCs/>
          <w:sz w:val="24"/>
          <w:szCs w:val="24"/>
          <w:highlight w:val="none"/>
          <w:lang w:val="en-US" w:eastAsia="zh-CN"/>
        </w:rPr>
      </w:pPr>
      <w:r>
        <w:rPr>
          <w:rFonts w:hint="eastAsia" w:ascii="宋体" w:hAnsi="宋体" w:eastAsia="宋体" w:cs="宋体"/>
          <w:b w:val="0"/>
          <w:bCs/>
          <w:sz w:val="24"/>
          <w:szCs w:val="24"/>
          <w:highlight w:val="none"/>
          <w:lang w:val="en-US" w:eastAsia="zh-CN"/>
        </w:rPr>
        <w:t>（7）乙方维保服务人员的工资、福利、社保、医保、伙食、住宿等一切与本项目维保服务有关的费用由乙方自行承担，并按时支付缴纳本项目维保服务人员的相应费用。若乙方未履行本条款所发生的劳务及劳动纠纷与甲方无关。</w:t>
      </w:r>
    </w:p>
    <w:p w14:paraId="7BBE253A">
      <w:pPr>
        <w:keepNext w:val="0"/>
        <w:keepLines w:val="0"/>
        <w:pageBreakBefore w:val="0"/>
        <w:numPr>
          <w:ilvl w:val="0"/>
          <w:numId w:val="0"/>
        </w:numPr>
        <w:kinsoku/>
        <w:overflowPunct/>
        <w:topLinePunct w:val="0"/>
        <w:bidi w:val="0"/>
        <w:adjustRightInd w:val="0"/>
        <w:snapToGrid w:val="0"/>
        <w:spacing w:line="360" w:lineRule="auto"/>
        <w:ind w:left="0" w:leftChars="0" w:firstLine="480" w:firstLineChars="200"/>
        <w:jc w:val="both"/>
        <w:rPr>
          <w:rFonts w:hint="eastAsia" w:ascii="宋体" w:hAnsi="宋体" w:eastAsia="宋体" w:cs="宋体"/>
          <w:b w:val="0"/>
          <w:bCs/>
          <w:sz w:val="24"/>
          <w:szCs w:val="24"/>
          <w:highlight w:val="none"/>
          <w:lang w:val="en-US" w:eastAsia="zh-CN"/>
        </w:rPr>
      </w:pPr>
      <w:r>
        <w:rPr>
          <w:rFonts w:hint="eastAsia" w:ascii="宋体" w:hAnsi="宋体" w:eastAsia="宋体" w:cs="宋体"/>
          <w:b w:val="0"/>
          <w:bCs/>
          <w:sz w:val="24"/>
          <w:szCs w:val="24"/>
          <w:highlight w:val="none"/>
          <w:lang w:val="en-US" w:eastAsia="zh-CN"/>
        </w:rPr>
        <w:t>（8）乙方维保服务人员的安全由乙方全权负责。</w:t>
      </w:r>
    </w:p>
    <w:p w14:paraId="7B333463">
      <w:pPr>
        <w:keepNext w:val="0"/>
        <w:keepLines w:val="0"/>
        <w:pageBreakBefore w:val="0"/>
        <w:numPr>
          <w:ilvl w:val="0"/>
          <w:numId w:val="0"/>
        </w:numPr>
        <w:kinsoku/>
        <w:overflowPunct/>
        <w:topLinePunct w:val="0"/>
        <w:bidi w:val="0"/>
        <w:adjustRightInd w:val="0"/>
        <w:snapToGrid w:val="0"/>
        <w:spacing w:line="360" w:lineRule="auto"/>
        <w:ind w:left="0" w:leftChars="0" w:firstLine="480" w:firstLineChars="200"/>
        <w:jc w:val="both"/>
        <w:rPr>
          <w:rFonts w:hint="eastAsia" w:ascii="宋体" w:hAnsi="宋体" w:eastAsia="宋体" w:cs="宋体"/>
          <w:b w:val="0"/>
          <w:bCs/>
          <w:sz w:val="24"/>
          <w:szCs w:val="24"/>
          <w:highlight w:val="none"/>
          <w:lang w:val="en-US" w:eastAsia="zh-CN"/>
        </w:rPr>
      </w:pPr>
      <w:r>
        <w:rPr>
          <w:rFonts w:hint="eastAsia" w:ascii="宋体" w:hAnsi="宋体" w:eastAsia="宋体" w:cs="宋体"/>
          <w:b w:val="0"/>
          <w:bCs/>
          <w:sz w:val="24"/>
          <w:szCs w:val="24"/>
          <w:highlight w:val="none"/>
          <w:lang w:val="en-US" w:eastAsia="zh-CN"/>
        </w:rPr>
        <w:t>（9）乙方应及时向甲方出具月检（每月5日前）自检报告；在维保服务结束后10日内提供第三方检测报告，确保第三方检测报告检验合格（委托第三方检测机构及检测费用由乙方全部承担），并向甲方提供检验合格证，相关职能部门有特殊要求上报的按其规定时间上报，因特殊原因由甲、乙双方协定。</w:t>
      </w:r>
    </w:p>
    <w:p w14:paraId="1F1F3AE1">
      <w:pPr>
        <w:keepNext w:val="0"/>
        <w:keepLines w:val="0"/>
        <w:pageBreakBefore w:val="0"/>
        <w:numPr>
          <w:ilvl w:val="0"/>
          <w:numId w:val="0"/>
        </w:numPr>
        <w:kinsoku/>
        <w:overflowPunct/>
        <w:topLinePunct w:val="0"/>
        <w:bidi w:val="0"/>
        <w:adjustRightInd w:val="0"/>
        <w:snapToGrid w:val="0"/>
        <w:spacing w:line="360" w:lineRule="auto"/>
        <w:ind w:left="0" w:leftChars="0" w:firstLine="480" w:firstLineChars="200"/>
        <w:jc w:val="both"/>
        <w:rPr>
          <w:rFonts w:hint="eastAsia" w:ascii="宋体" w:hAnsi="宋体" w:eastAsia="宋体" w:cs="宋体"/>
          <w:b w:val="0"/>
          <w:bCs/>
          <w:sz w:val="24"/>
          <w:szCs w:val="24"/>
          <w:highlight w:val="none"/>
          <w:lang w:val="en-US" w:eastAsia="zh-CN"/>
        </w:rPr>
      </w:pPr>
      <w:r>
        <w:rPr>
          <w:rFonts w:hint="eastAsia" w:ascii="宋体" w:hAnsi="宋体" w:eastAsia="宋体" w:cs="宋体"/>
          <w:b w:val="0"/>
          <w:bCs/>
          <w:sz w:val="24"/>
          <w:szCs w:val="24"/>
          <w:highlight w:val="none"/>
          <w:lang w:val="en-US" w:eastAsia="zh-CN"/>
        </w:rPr>
        <w:t>（10）由于乙方维保工作不到位造成甲方的设施设备损坏或造成事故发生，一切责任均由乙方负责，甲方有权依法追究乙方法律责任。</w:t>
      </w:r>
    </w:p>
    <w:p w14:paraId="45426E77">
      <w:pPr>
        <w:keepNext w:val="0"/>
        <w:keepLines w:val="0"/>
        <w:pageBreakBefore w:val="0"/>
        <w:numPr>
          <w:ilvl w:val="0"/>
          <w:numId w:val="0"/>
        </w:numPr>
        <w:kinsoku/>
        <w:overflowPunct/>
        <w:topLinePunct w:val="0"/>
        <w:bidi w:val="0"/>
        <w:adjustRightInd w:val="0"/>
        <w:snapToGrid w:val="0"/>
        <w:spacing w:line="360" w:lineRule="auto"/>
        <w:ind w:left="0" w:leftChars="0" w:firstLine="480" w:firstLineChars="200"/>
        <w:jc w:val="both"/>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lang w:val="en-US" w:eastAsia="zh-CN"/>
        </w:rPr>
        <w:t>（11）合同终止后，乙方应在10日内将消防维保的相关资料交给甲方，否则甲方有权拒绝支付维保服务费。</w:t>
      </w:r>
    </w:p>
    <w:p w14:paraId="4D9B1015">
      <w:pPr>
        <w:keepNext w:val="0"/>
        <w:keepLines w:val="0"/>
        <w:pageBreakBefore w:val="0"/>
        <w:widowControl/>
        <w:kinsoku/>
        <w:wordWrap w:val="0"/>
        <w:overflowPunct/>
        <w:topLinePunct w:val="0"/>
        <w:bidi w:val="0"/>
        <w:adjustRightInd w:val="0"/>
        <w:snapToGrid w:val="0"/>
        <w:spacing w:before="190" w:beforeLines="50" w:line="360" w:lineRule="auto"/>
        <w:ind w:right="0" w:rightChars="0"/>
        <w:jc w:val="both"/>
        <w:textAlignment w:val="auto"/>
        <w:rPr>
          <w:rFonts w:hint="eastAsia" w:ascii="宋体" w:hAnsi="宋体" w:eastAsia="宋体" w:cs="宋体"/>
          <w:b/>
          <w:bCs w:val="0"/>
          <w:color w:val="auto"/>
          <w:kern w:val="2"/>
          <w:sz w:val="24"/>
          <w:szCs w:val="24"/>
          <w:highlight w:val="none"/>
          <w:lang w:val="en-US" w:eastAsia="zh-CN" w:bidi="ar-SA"/>
        </w:rPr>
      </w:pPr>
      <w:r>
        <w:rPr>
          <w:rFonts w:hint="eastAsia" w:ascii="宋体" w:hAnsi="宋体" w:eastAsia="宋体" w:cs="宋体"/>
          <w:b/>
          <w:bCs w:val="0"/>
          <w:sz w:val="24"/>
          <w:szCs w:val="24"/>
          <w:highlight w:val="none"/>
          <w:lang w:val="en-US" w:eastAsia="zh-CN"/>
        </w:rPr>
        <w:t>7</w:t>
      </w:r>
      <w:r>
        <w:rPr>
          <w:rFonts w:hint="eastAsia" w:ascii="宋体" w:hAnsi="宋体" w:eastAsia="宋体" w:cs="宋体"/>
          <w:b/>
          <w:bCs w:val="0"/>
          <w:sz w:val="24"/>
          <w:szCs w:val="24"/>
          <w:highlight w:val="none"/>
        </w:rPr>
        <w:t>、</w:t>
      </w:r>
      <w:r>
        <w:rPr>
          <w:rFonts w:hint="eastAsia" w:ascii="宋体" w:hAnsi="宋体" w:eastAsia="宋体" w:cs="宋体"/>
          <w:b/>
          <w:bCs w:val="0"/>
          <w:color w:val="auto"/>
          <w:kern w:val="2"/>
          <w:sz w:val="24"/>
          <w:szCs w:val="24"/>
          <w:highlight w:val="none"/>
          <w:lang w:val="en-US" w:eastAsia="zh-CN" w:bidi="ar-SA"/>
        </w:rPr>
        <w:t>质量保证</w:t>
      </w:r>
    </w:p>
    <w:p w14:paraId="119CF629">
      <w:pPr>
        <w:keepNext w:val="0"/>
        <w:keepLines w:val="0"/>
        <w:pageBreakBefore w:val="0"/>
        <w:widowControl/>
        <w:kinsoku/>
        <w:wordWrap w:val="0"/>
        <w:overflowPunct/>
        <w:topLinePunct w:val="0"/>
        <w:bidi w:val="0"/>
        <w:adjustRightInd w:val="0"/>
        <w:snapToGrid w:val="0"/>
        <w:spacing w:line="360" w:lineRule="auto"/>
        <w:ind w:right="0" w:rightChars="0" w:firstLine="480" w:firstLineChars="200"/>
        <w:jc w:val="both"/>
        <w:textAlignment w:val="auto"/>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乙方所供服务方案和方式科学、可行，人员配置合理，全面满足要求。符合国家有关服务规范要求，确保各项服务达到最佳运行效果。乙方提供的服务，若发生侵权而产生的一切后果，由乙方负责。甲方保留索赔权力。</w:t>
      </w:r>
    </w:p>
    <w:p w14:paraId="721DAD0E">
      <w:pPr>
        <w:keepNext w:val="0"/>
        <w:keepLines w:val="0"/>
        <w:pageBreakBefore w:val="0"/>
        <w:widowControl/>
        <w:kinsoku/>
        <w:wordWrap w:val="0"/>
        <w:overflowPunct/>
        <w:topLinePunct w:val="0"/>
        <w:bidi w:val="0"/>
        <w:adjustRightInd w:val="0"/>
        <w:snapToGrid w:val="0"/>
        <w:spacing w:line="360" w:lineRule="auto"/>
        <w:ind w:right="0" w:rightChars="0"/>
        <w:jc w:val="both"/>
        <w:textAlignment w:val="auto"/>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1.维护、保养的依据及标准</w:t>
      </w:r>
    </w:p>
    <w:p w14:paraId="02099924">
      <w:pPr>
        <w:keepNext w:val="0"/>
        <w:keepLines w:val="0"/>
        <w:pageBreakBefore w:val="0"/>
        <w:widowControl/>
        <w:kinsoku/>
        <w:wordWrap w:val="0"/>
        <w:overflowPunct/>
        <w:topLinePunct w:val="0"/>
        <w:bidi w:val="0"/>
        <w:adjustRightInd w:val="0"/>
        <w:snapToGrid w:val="0"/>
        <w:spacing w:line="360" w:lineRule="auto"/>
        <w:ind w:right="0" w:rightChars="0" w:firstLine="480" w:firstLineChars="200"/>
        <w:jc w:val="both"/>
        <w:textAlignment w:val="auto"/>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（1）《建筑设计防火规范》GB 50016-2014</w:t>
      </w:r>
    </w:p>
    <w:p w14:paraId="46AAF43D">
      <w:pPr>
        <w:keepNext w:val="0"/>
        <w:keepLines w:val="0"/>
        <w:pageBreakBefore w:val="0"/>
        <w:widowControl/>
        <w:kinsoku/>
        <w:wordWrap w:val="0"/>
        <w:overflowPunct/>
        <w:topLinePunct w:val="0"/>
        <w:bidi w:val="0"/>
        <w:adjustRightInd w:val="0"/>
        <w:snapToGrid w:val="0"/>
        <w:spacing w:line="360" w:lineRule="auto"/>
        <w:ind w:right="0" w:rightChars="0" w:firstLine="480" w:firstLineChars="200"/>
        <w:jc w:val="both"/>
        <w:textAlignment w:val="auto"/>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（2）《火灾自动报警系统施工及验收规范》GB50166-2019</w:t>
      </w:r>
    </w:p>
    <w:p w14:paraId="51BCA390">
      <w:pPr>
        <w:keepNext w:val="0"/>
        <w:keepLines w:val="0"/>
        <w:pageBreakBefore w:val="0"/>
        <w:widowControl/>
        <w:kinsoku/>
        <w:wordWrap w:val="0"/>
        <w:overflowPunct/>
        <w:topLinePunct w:val="0"/>
        <w:bidi w:val="0"/>
        <w:adjustRightInd w:val="0"/>
        <w:snapToGrid w:val="0"/>
        <w:spacing w:line="360" w:lineRule="auto"/>
        <w:ind w:right="0" w:rightChars="0" w:firstLine="480" w:firstLineChars="200"/>
        <w:jc w:val="both"/>
        <w:textAlignment w:val="auto"/>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（3）《自动喷水灭火系统施工及验收规范》GB50261-2017</w:t>
      </w:r>
    </w:p>
    <w:p w14:paraId="445DF7FA">
      <w:pPr>
        <w:keepNext w:val="0"/>
        <w:keepLines w:val="0"/>
        <w:pageBreakBefore w:val="0"/>
        <w:widowControl/>
        <w:kinsoku/>
        <w:wordWrap w:val="0"/>
        <w:overflowPunct/>
        <w:topLinePunct w:val="0"/>
        <w:bidi w:val="0"/>
        <w:adjustRightInd w:val="0"/>
        <w:snapToGrid w:val="0"/>
        <w:spacing w:line="360" w:lineRule="auto"/>
        <w:ind w:right="0" w:rightChars="0" w:firstLine="480" w:firstLineChars="200"/>
        <w:jc w:val="both"/>
        <w:textAlignment w:val="auto"/>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（4）《给排水管道工程施工及验收规范》GB 50268-2008</w:t>
      </w:r>
    </w:p>
    <w:p w14:paraId="03905F2C">
      <w:pPr>
        <w:keepNext w:val="0"/>
        <w:keepLines w:val="0"/>
        <w:pageBreakBefore w:val="0"/>
        <w:widowControl/>
        <w:kinsoku/>
        <w:wordWrap w:val="0"/>
        <w:overflowPunct/>
        <w:topLinePunct w:val="0"/>
        <w:bidi w:val="0"/>
        <w:adjustRightInd w:val="0"/>
        <w:snapToGrid w:val="0"/>
        <w:spacing w:line="360" w:lineRule="auto"/>
        <w:ind w:right="0" w:rightChars="0" w:firstLine="480" w:firstLineChars="200"/>
        <w:jc w:val="both"/>
        <w:textAlignment w:val="auto"/>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（5）《气体灭火系统施工及验收规范》GB 50263-2007</w:t>
      </w:r>
    </w:p>
    <w:p w14:paraId="6080A54D">
      <w:pPr>
        <w:keepNext w:val="0"/>
        <w:keepLines w:val="0"/>
        <w:pageBreakBefore w:val="0"/>
        <w:widowControl/>
        <w:kinsoku/>
        <w:wordWrap w:val="0"/>
        <w:overflowPunct/>
        <w:topLinePunct w:val="0"/>
        <w:bidi w:val="0"/>
        <w:adjustRightInd w:val="0"/>
        <w:snapToGrid w:val="0"/>
        <w:spacing w:line="360" w:lineRule="auto"/>
        <w:ind w:right="0" w:rightChars="0" w:firstLine="480" w:firstLineChars="200"/>
        <w:jc w:val="both"/>
        <w:textAlignment w:val="auto"/>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（6）《消防给水及消火栓系统技术规范》GB 50974-2014</w:t>
      </w:r>
    </w:p>
    <w:p w14:paraId="3502737A">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（7）《建筑防烟排烟系统技术标准》GB 51251-2017</w:t>
      </w:r>
    </w:p>
    <w:p w14:paraId="62EF9A28">
      <w:pPr>
        <w:keepNext w:val="0"/>
        <w:keepLines w:val="0"/>
        <w:pageBreakBefore w:val="0"/>
        <w:widowControl/>
        <w:kinsoku/>
        <w:wordWrap w:val="0"/>
        <w:overflowPunct/>
        <w:topLinePunct w:val="0"/>
        <w:bidi w:val="0"/>
        <w:adjustRightInd w:val="0"/>
        <w:snapToGrid w:val="0"/>
        <w:spacing w:line="360" w:lineRule="auto"/>
        <w:ind w:right="0" w:rightChars="0" w:firstLine="480" w:firstLineChars="200"/>
        <w:jc w:val="both"/>
        <w:textAlignment w:val="auto"/>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（8）《建筑消防设施检测技术规程》XF 503-2004</w:t>
      </w:r>
    </w:p>
    <w:p w14:paraId="44465743">
      <w:pPr>
        <w:keepNext w:val="0"/>
        <w:keepLines w:val="0"/>
        <w:pageBreakBefore w:val="0"/>
        <w:widowControl/>
        <w:kinsoku/>
        <w:wordWrap w:val="0"/>
        <w:overflowPunct/>
        <w:topLinePunct w:val="0"/>
        <w:bidi w:val="0"/>
        <w:adjustRightInd w:val="0"/>
        <w:snapToGrid w:val="0"/>
        <w:spacing w:line="360" w:lineRule="auto"/>
        <w:ind w:right="0" w:rightChars="0" w:firstLine="480" w:firstLineChars="200"/>
        <w:jc w:val="both"/>
        <w:textAlignment w:val="auto"/>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（9）《建筑消防设施的维护管理》GB 25201-2010</w:t>
      </w:r>
    </w:p>
    <w:p w14:paraId="018445DB">
      <w:pPr>
        <w:keepNext w:val="0"/>
        <w:keepLines w:val="0"/>
        <w:pageBreakBefore w:val="0"/>
        <w:widowControl/>
        <w:kinsoku/>
        <w:wordWrap w:val="0"/>
        <w:overflowPunct/>
        <w:topLinePunct w:val="0"/>
        <w:bidi w:val="0"/>
        <w:adjustRightInd w:val="0"/>
        <w:snapToGrid w:val="0"/>
        <w:spacing w:line="360" w:lineRule="auto"/>
        <w:ind w:right="0" w:rightChars="0" w:firstLine="480" w:firstLineChars="200"/>
        <w:jc w:val="both"/>
        <w:textAlignment w:val="auto"/>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（10）《中华人民共和国消防法》</w:t>
      </w:r>
    </w:p>
    <w:p w14:paraId="4EB6E3AA">
      <w:pPr>
        <w:keepNext w:val="0"/>
        <w:keepLines w:val="0"/>
        <w:pageBreakBefore w:val="0"/>
        <w:widowControl/>
        <w:kinsoku/>
        <w:wordWrap w:val="0"/>
        <w:overflowPunct/>
        <w:topLinePunct w:val="0"/>
        <w:bidi w:val="0"/>
        <w:adjustRightInd w:val="0"/>
        <w:snapToGrid w:val="0"/>
        <w:spacing w:line="360" w:lineRule="auto"/>
        <w:ind w:right="0" w:rightChars="0" w:firstLine="480" w:firstLineChars="200"/>
        <w:jc w:val="both"/>
        <w:textAlignment w:val="auto"/>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（11）《陕西省消防条例》</w:t>
      </w:r>
    </w:p>
    <w:p w14:paraId="3BCAC1EE">
      <w:pPr>
        <w:keepNext w:val="0"/>
        <w:keepLines w:val="0"/>
        <w:pageBreakBefore w:val="0"/>
        <w:widowControl/>
        <w:kinsoku/>
        <w:wordWrap w:val="0"/>
        <w:overflowPunct/>
        <w:topLinePunct w:val="0"/>
        <w:bidi w:val="0"/>
        <w:adjustRightInd w:val="0"/>
        <w:snapToGrid w:val="0"/>
        <w:spacing w:line="360" w:lineRule="auto"/>
        <w:ind w:right="0" w:rightChars="0"/>
        <w:jc w:val="both"/>
        <w:textAlignment w:val="auto"/>
        <w:rPr>
          <w:rFonts w:hint="eastAsia" w:ascii="宋体" w:hAnsi="宋体" w:eastAsia="宋体" w:cs="宋体"/>
          <w:b w:val="0"/>
          <w:bCs w:val="0"/>
          <w:color w:val="auto"/>
          <w:kern w:val="2"/>
          <w:sz w:val="24"/>
          <w:szCs w:val="24"/>
          <w:highlight w:val="none"/>
          <w:lang w:val="en-US" w:eastAsia="zh-CN" w:bidi="ar-SA"/>
        </w:rPr>
      </w:pPr>
      <w:r>
        <w:rPr>
          <w:rFonts w:hint="eastAsia" w:ascii="宋体" w:hAnsi="宋体" w:cs="宋体"/>
          <w:b w:val="0"/>
          <w:bCs w:val="0"/>
          <w:color w:val="auto"/>
          <w:kern w:val="2"/>
          <w:sz w:val="24"/>
          <w:szCs w:val="24"/>
          <w:highlight w:val="none"/>
          <w:lang w:val="en-US" w:eastAsia="zh-CN" w:bidi="ar-SA"/>
        </w:rPr>
        <w:t>2</w:t>
      </w:r>
      <w:r>
        <w:rPr>
          <w:rFonts w:hint="eastAsia" w:ascii="宋体" w:hAnsi="宋体" w:eastAsia="宋体" w:cs="宋体"/>
          <w:b w:val="0"/>
          <w:bCs w:val="0"/>
          <w:color w:val="auto"/>
          <w:kern w:val="2"/>
          <w:sz w:val="24"/>
          <w:szCs w:val="24"/>
          <w:highlight w:val="none"/>
          <w:lang w:val="en-US" w:eastAsia="zh-CN" w:bidi="ar-SA"/>
        </w:rPr>
        <w:t>.维护人员要求</w:t>
      </w:r>
    </w:p>
    <w:p w14:paraId="3D93D89D">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项目</w:t>
      </w:r>
      <w:r>
        <w:rPr>
          <w:rFonts w:hint="eastAsia" w:ascii="宋体" w:hAnsi="宋体" w:eastAsia="宋体" w:cs="宋体"/>
          <w:sz w:val="24"/>
          <w:szCs w:val="24"/>
          <w:highlight w:val="none"/>
          <w:lang w:eastAsia="zh-CN"/>
        </w:rPr>
        <w:t>负责人:(1人)</w:t>
      </w:r>
    </w:p>
    <w:p w14:paraId="3B8E3A6E">
      <w:pPr>
        <w:keepNext w:val="0"/>
        <w:keepLines w:val="0"/>
        <w:pageBreakBefore w:val="0"/>
        <w:widowControl/>
        <w:kinsoku/>
        <w:wordWrap/>
        <w:overflowPunct/>
        <w:topLinePunct w:val="0"/>
        <w:autoSpaceDE/>
        <w:autoSpaceDN/>
        <w:bidi w:val="0"/>
        <w:adjustRightInd/>
        <w:snapToGrid/>
        <w:spacing w:line="360" w:lineRule="auto"/>
        <w:ind w:leftChars="300"/>
        <w:textAlignment w:val="auto"/>
        <w:rPr>
          <w:rFonts w:hint="eastAsia" w:ascii="宋体" w:hAnsi="宋体" w:eastAsia="宋体" w:cs="宋体"/>
          <w:sz w:val="24"/>
          <w:szCs w:val="24"/>
          <w:highlight w:val="none"/>
          <w:lang w:val="en-US" w:eastAsia="zh-CN"/>
        </w:rPr>
      </w:pPr>
      <w:r>
        <w:rPr>
          <w:rFonts w:hint="eastAsia" w:ascii="宋体" w:hAnsi="宋体" w:cs="宋体"/>
          <w:sz w:val="24"/>
          <w:szCs w:val="24"/>
          <w:highlight w:val="none"/>
          <w:lang w:val="en-US" w:eastAsia="zh-CN"/>
        </w:rPr>
        <w:t>1</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项目负责人具备注册消防工程师资格证书，且在本单位注册。</w:t>
      </w:r>
    </w:p>
    <w:p w14:paraId="63E3E79C">
      <w:pPr>
        <w:keepNext w:val="0"/>
        <w:keepLines w:val="0"/>
        <w:pageBreakBefore w:val="0"/>
        <w:widowControl/>
        <w:kinsoku/>
        <w:wordWrap/>
        <w:overflowPunct/>
        <w:topLinePunct w:val="0"/>
        <w:autoSpaceDE/>
        <w:autoSpaceDN/>
        <w:bidi w:val="0"/>
        <w:adjustRightInd/>
        <w:snapToGrid/>
        <w:spacing w:line="360" w:lineRule="auto"/>
        <w:ind w:leftChars="300"/>
        <w:textAlignment w:val="auto"/>
        <w:rPr>
          <w:rFonts w:hint="eastAsia" w:ascii="宋体" w:hAnsi="宋体" w:eastAsia="宋体" w:cs="宋体"/>
          <w:sz w:val="24"/>
          <w:szCs w:val="24"/>
          <w:highlight w:val="none"/>
          <w:lang w:eastAsia="zh-CN"/>
        </w:rPr>
      </w:pPr>
      <w:r>
        <w:rPr>
          <w:rFonts w:hint="eastAsia" w:ascii="宋体" w:hAnsi="宋体" w:cs="宋体"/>
          <w:sz w:val="24"/>
          <w:szCs w:val="24"/>
          <w:highlight w:val="none"/>
          <w:lang w:val="en-US" w:eastAsia="zh-CN"/>
        </w:rPr>
        <w:t>2）</w:t>
      </w:r>
      <w:r>
        <w:rPr>
          <w:rFonts w:hint="eastAsia" w:ascii="宋体" w:hAnsi="宋体" w:eastAsia="宋体" w:cs="宋体"/>
          <w:sz w:val="24"/>
          <w:szCs w:val="24"/>
          <w:highlight w:val="none"/>
          <w:lang w:eastAsia="zh-CN"/>
        </w:rPr>
        <w:t>该负责人在本项目维保期间每月现场出勤率不少于20天。</w:t>
      </w:r>
    </w:p>
    <w:p w14:paraId="5CD82053">
      <w:pPr>
        <w:keepNext w:val="0"/>
        <w:keepLines w:val="0"/>
        <w:pageBreakBefore w:val="0"/>
        <w:widowControl/>
        <w:kinsoku/>
        <w:wordWrap/>
        <w:overflowPunct/>
        <w:topLinePunct w:val="0"/>
        <w:autoSpaceDE/>
        <w:autoSpaceDN/>
        <w:bidi w:val="0"/>
        <w:adjustRightInd/>
        <w:snapToGrid/>
        <w:spacing w:line="360" w:lineRule="auto"/>
        <w:ind w:leftChars="300"/>
        <w:textAlignment w:val="auto"/>
        <w:rPr>
          <w:rFonts w:hint="eastAsia" w:ascii="宋体" w:hAnsi="宋体" w:eastAsia="宋体" w:cs="宋体"/>
          <w:sz w:val="24"/>
          <w:szCs w:val="24"/>
          <w:highlight w:val="none"/>
          <w:lang w:eastAsia="zh-CN"/>
        </w:rPr>
      </w:pPr>
      <w:r>
        <w:rPr>
          <w:rFonts w:hint="eastAsia" w:ascii="宋体" w:hAnsi="宋体" w:cs="宋体"/>
          <w:sz w:val="24"/>
          <w:szCs w:val="24"/>
          <w:highlight w:val="none"/>
          <w:lang w:val="en-US" w:eastAsia="zh-CN"/>
        </w:rPr>
        <w:t>3）</w:t>
      </w:r>
      <w:r>
        <w:rPr>
          <w:rFonts w:hint="eastAsia" w:ascii="宋体" w:hAnsi="宋体" w:eastAsia="宋体" w:cs="宋体"/>
          <w:sz w:val="24"/>
          <w:szCs w:val="24"/>
          <w:highlight w:val="none"/>
          <w:lang w:eastAsia="zh-CN"/>
        </w:rPr>
        <w:t>20</w:t>
      </w:r>
      <w:r>
        <w:rPr>
          <w:rFonts w:hint="eastAsia" w:ascii="宋体" w:hAnsi="宋体" w:eastAsia="宋体" w:cs="宋体"/>
          <w:sz w:val="24"/>
          <w:szCs w:val="24"/>
          <w:highlight w:val="none"/>
          <w:lang w:val="en-US" w:eastAsia="zh-CN"/>
        </w:rPr>
        <w:t>22</w:t>
      </w:r>
      <w:r>
        <w:rPr>
          <w:rFonts w:hint="eastAsia" w:ascii="宋体" w:hAnsi="宋体" w:eastAsia="宋体" w:cs="宋体"/>
          <w:sz w:val="24"/>
          <w:szCs w:val="24"/>
          <w:highlight w:val="none"/>
          <w:lang w:eastAsia="zh-CN"/>
        </w:rPr>
        <w:t>年1月1日以来无安全考核不良记录。</w:t>
      </w:r>
    </w:p>
    <w:p w14:paraId="71F86535">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cs="宋体"/>
          <w:sz w:val="24"/>
          <w:szCs w:val="24"/>
          <w:highlight w:val="none"/>
          <w:lang w:val="en-US" w:eastAsia="zh-CN"/>
        </w:rPr>
      </w:pPr>
      <w:r>
        <w:rPr>
          <w:rFonts w:hint="eastAsia" w:ascii="宋体" w:hAnsi="宋体" w:eastAsia="宋体" w:cs="宋体"/>
          <w:kern w:val="2"/>
          <w:sz w:val="24"/>
          <w:szCs w:val="24"/>
          <w:highlight w:val="none"/>
          <w:lang w:val="en-US" w:eastAsia="zh-CN" w:bidi="ar-SA"/>
        </w:rPr>
        <w:t>（2）</w:t>
      </w:r>
      <w:r>
        <w:rPr>
          <w:rFonts w:hint="eastAsia" w:ascii="宋体" w:hAnsi="宋体" w:cs="宋体"/>
          <w:sz w:val="24"/>
          <w:szCs w:val="24"/>
          <w:highlight w:val="none"/>
          <w:lang w:val="en-US" w:eastAsia="zh-CN"/>
        </w:rPr>
        <w:t>技术负责人：（1人）</w:t>
      </w:r>
    </w:p>
    <w:p w14:paraId="6C706168">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300"/>
        <w:textAlignment w:val="auto"/>
        <w:rPr>
          <w:rFonts w:hint="eastAsia" w:ascii="宋体" w:hAnsi="宋体" w:cs="宋体"/>
          <w:sz w:val="24"/>
          <w:szCs w:val="24"/>
          <w:highlight w:val="none"/>
          <w:lang w:val="en-US" w:eastAsia="zh-CN"/>
        </w:rPr>
      </w:pPr>
      <w:r>
        <w:rPr>
          <w:rFonts w:hint="eastAsia" w:ascii="宋体" w:hAnsi="宋体" w:eastAsia="宋体" w:cs="宋体"/>
          <w:kern w:val="2"/>
          <w:sz w:val="24"/>
          <w:szCs w:val="24"/>
          <w:highlight w:val="none"/>
          <w:lang w:val="en-US" w:eastAsia="zh-CN" w:bidi="ar-SA"/>
        </w:rPr>
        <w:t>1）</w:t>
      </w:r>
      <w:r>
        <w:rPr>
          <w:rFonts w:hint="eastAsia" w:ascii="宋体" w:hAnsi="宋体" w:cs="宋体"/>
          <w:sz w:val="24"/>
          <w:szCs w:val="24"/>
          <w:highlight w:val="none"/>
          <w:lang w:val="en-US" w:eastAsia="zh-CN"/>
        </w:rPr>
        <w:t>技术负责人具备注册消防工程师资格证书，且在本单位注册。</w:t>
      </w:r>
    </w:p>
    <w:p w14:paraId="40CAF3BD">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300"/>
        <w:textAlignment w:val="auto"/>
        <w:rPr>
          <w:rFonts w:hint="default" w:ascii="宋体" w:hAnsi="宋体" w:cs="宋体"/>
          <w:sz w:val="24"/>
          <w:szCs w:val="24"/>
          <w:highlight w:val="none"/>
          <w:lang w:val="en-US" w:eastAsia="zh-CN"/>
        </w:rPr>
      </w:pPr>
      <w:r>
        <w:rPr>
          <w:rFonts w:hint="default" w:ascii="宋体" w:hAnsi="宋体" w:eastAsia="宋体" w:cs="宋体"/>
          <w:kern w:val="2"/>
          <w:sz w:val="24"/>
          <w:szCs w:val="24"/>
          <w:highlight w:val="none"/>
          <w:lang w:val="en-US" w:eastAsia="zh-CN" w:bidi="ar-SA"/>
        </w:rPr>
        <w:t>2）</w:t>
      </w:r>
      <w:r>
        <w:rPr>
          <w:rFonts w:hint="eastAsia" w:ascii="宋体" w:hAnsi="宋体" w:eastAsia="宋体" w:cs="宋体"/>
          <w:sz w:val="24"/>
          <w:szCs w:val="24"/>
          <w:highlight w:val="none"/>
          <w:lang w:eastAsia="zh-CN"/>
        </w:rPr>
        <w:t>20</w:t>
      </w:r>
      <w:r>
        <w:rPr>
          <w:rFonts w:hint="eastAsia" w:ascii="宋体" w:hAnsi="宋体" w:eastAsia="宋体" w:cs="宋体"/>
          <w:sz w:val="24"/>
          <w:szCs w:val="24"/>
          <w:highlight w:val="none"/>
          <w:lang w:val="en-US" w:eastAsia="zh-CN"/>
        </w:rPr>
        <w:t>22</w:t>
      </w:r>
      <w:r>
        <w:rPr>
          <w:rFonts w:hint="eastAsia" w:ascii="宋体" w:hAnsi="宋体" w:eastAsia="宋体" w:cs="宋体"/>
          <w:sz w:val="24"/>
          <w:szCs w:val="24"/>
          <w:highlight w:val="none"/>
          <w:lang w:eastAsia="zh-CN"/>
        </w:rPr>
        <w:t>年1月1日以来无安全考核不良记录。</w:t>
      </w:r>
    </w:p>
    <w:p w14:paraId="6668AFD0">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eastAsia="zh-CN"/>
        </w:rPr>
      </w:pPr>
      <w:r>
        <w:rPr>
          <w:rFonts w:hint="eastAsia" w:ascii="宋体" w:hAnsi="宋体" w:cs="宋体"/>
          <w:sz w:val="24"/>
          <w:szCs w:val="24"/>
          <w:highlight w:val="none"/>
          <w:lang w:eastAsia="zh-CN"/>
        </w:rPr>
        <w:t>（</w:t>
      </w:r>
      <w:r>
        <w:rPr>
          <w:rFonts w:hint="eastAsia" w:ascii="宋体" w:hAnsi="宋体" w:cs="宋体"/>
          <w:sz w:val="24"/>
          <w:szCs w:val="24"/>
          <w:highlight w:val="none"/>
          <w:lang w:val="en-US" w:eastAsia="zh-CN"/>
        </w:rPr>
        <w:t>3</w:t>
      </w:r>
      <w:r>
        <w:rPr>
          <w:rFonts w:hint="eastAsia" w:ascii="宋体" w:hAnsi="宋体" w:cs="宋体"/>
          <w:sz w:val="24"/>
          <w:szCs w:val="24"/>
          <w:highlight w:val="none"/>
          <w:lang w:eastAsia="zh-CN"/>
        </w:rPr>
        <w:t>）</w:t>
      </w:r>
      <w:r>
        <w:rPr>
          <w:rFonts w:hint="eastAsia" w:ascii="宋体" w:hAnsi="宋体" w:eastAsia="宋体" w:cs="宋体"/>
          <w:sz w:val="24"/>
          <w:szCs w:val="24"/>
          <w:highlight w:val="none"/>
          <w:lang w:eastAsia="zh-CN"/>
        </w:rPr>
        <w:t>专业维护人员</w:t>
      </w:r>
      <w:r>
        <w:rPr>
          <w:rFonts w:hint="eastAsia" w:ascii="宋体" w:hAnsi="宋体" w:cs="宋体"/>
          <w:sz w:val="24"/>
          <w:szCs w:val="24"/>
          <w:highlight w:val="none"/>
          <w:lang w:val="en-US" w:eastAsia="zh-CN"/>
        </w:rPr>
        <w:t>团队</w:t>
      </w:r>
      <w:r>
        <w:rPr>
          <w:rFonts w:hint="eastAsia" w:ascii="宋体" w:hAnsi="宋体" w:eastAsia="宋体" w:cs="宋体"/>
          <w:sz w:val="24"/>
          <w:szCs w:val="24"/>
          <w:highlight w:val="none"/>
          <w:lang w:eastAsia="zh-CN"/>
        </w:rPr>
        <w:t>:(</w:t>
      </w:r>
      <w:r>
        <w:rPr>
          <w:rFonts w:hint="eastAsia" w:ascii="宋体" w:hAnsi="宋体" w:cs="宋体"/>
          <w:sz w:val="24"/>
          <w:szCs w:val="24"/>
          <w:highlight w:val="none"/>
          <w:lang w:val="en-US" w:eastAsia="zh-CN"/>
        </w:rPr>
        <w:t>不少于</w:t>
      </w:r>
      <w:r>
        <w:rPr>
          <w:rFonts w:hint="eastAsia" w:ascii="宋体" w:hAnsi="宋体" w:eastAsia="宋体" w:cs="宋体"/>
          <w:sz w:val="24"/>
          <w:szCs w:val="24"/>
          <w:highlight w:val="none"/>
          <w:lang w:eastAsia="zh-CN"/>
        </w:rPr>
        <w:t>6人)</w:t>
      </w:r>
    </w:p>
    <w:p w14:paraId="3B3A11CD">
      <w:pPr>
        <w:keepNext w:val="0"/>
        <w:keepLines w:val="0"/>
        <w:pageBreakBefore w:val="0"/>
        <w:widowControl/>
        <w:kinsoku/>
        <w:wordWrap/>
        <w:overflowPunct/>
        <w:topLinePunct w:val="0"/>
        <w:autoSpaceDE/>
        <w:autoSpaceDN/>
        <w:bidi w:val="0"/>
        <w:adjustRightInd/>
        <w:snapToGrid/>
        <w:spacing w:line="360" w:lineRule="auto"/>
        <w:ind w:firstLine="720" w:firstLineChars="3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1)从事维护保养的人员，应经过消防部门专业考试合格，获得消防部门颁发的建(构)筑物消防员证，持证上岗。</w:t>
      </w:r>
    </w:p>
    <w:p w14:paraId="514AE8B0">
      <w:pPr>
        <w:keepNext w:val="0"/>
        <w:keepLines w:val="0"/>
        <w:pageBreakBefore w:val="0"/>
        <w:widowControl/>
        <w:kinsoku/>
        <w:wordWrap/>
        <w:overflowPunct/>
        <w:topLinePunct w:val="0"/>
        <w:autoSpaceDE/>
        <w:autoSpaceDN/>
        <w:bidi w:val="0"/>
        <w:adjustRightInd/>
        <w:snapToGrid/>
        <w:spacing w:line="360" w:lineRule="auto"/>
        <w:ind w:firstLine="720" w:firstLineChars="3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2)从以上人员安排日常维保常驻人员不少于2人，每日进行巡查工作，</w:t>
      </w:r>
      <w:r>
        <w:rPr>
          <w:rFonts w:hint="eastAsia" w:ascii="宋体" w:hAnsi="宋体" w:cs="宋体"/>
          <w:sz w:val="24"/>
          <w:szCs w:val="24"/>
          <w:highlight w:val="none"/>
          <w:lang w:val="en-US" w:eastAsia="zh-CN"/>
        </w:rPr>
        <w:t>确保</w:t>
      </w:r>
      <w:r>
        <w:rPr>
          <w:rFonts w:hint="eastAsia" w:ascii="宋体" w:hAnsi="宋体" w:eastAsia="宋体" w:cs="宋体"/>
          <w:sz w:val="24"/>
          <w:szCs w:val="24"/>
          <w:highlight w:val="none"/>
          <w:lang w:eastAsia="zh-CN"/>
        </w:rPr>
        <w:t>24小时有专人值班。</w:t>
      </w:r>
    </w:p>
    <w:p w14:paraId="044E2FC3">
      <w:pPr>
        <w:keepNext w:val="0"/>
        <w:keepLines w:val="0"/>
        <w:pageBreakBefore w:val="0"/>
        <w:widowControl/>
        <w:kinsoku/>
        <w:wordWrap w:val="0"/>
        <w:overflowPunct/>
        <w:topLinePunct w:val="0"/>
        <w:bidi w:val="0"/>
        <w:adjustRightInd w:val="0"/>
        <w:snapToGrid w:val="0"/>
        <w:spacing w:before="190" w:beforeLines="50" w:line="360" w:lineRule="auto"/>
        <w:ind w:right="0" w:rightChars="0"/>
        <w:jc w:val="both"/>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3)20</w:t>
      </w:r>
      <w:r>
        <w:rPr>
          <w:rFonts w:hint="eastAsia" w:ascii="宋体" w:hAnsi="宋体" w:eastAsia="宋体" w:cs="宋体"/>
          <w:sz w:val="24"/>
          <w:szCs w:val="24"/>
          <w:highlight w:val="none"/>
          <w:lang w:val="en-US" w:eastAsia="zh-CN"/>
        </w:rPr>
        <w:t>22</w:t>
      </w:r>
      <w:r>
        <w:rPr>
          <w:rFonts w:hint="eastAsia" w:ascii="宋体" w:hAnsi="宋体" w:eastAsia="宋体" w:cs="宋体"/>
          <w:sz w:val="24"/>
          <w:szCs w:val="24"/>
          <w:highlight w:val="none"/>
          <w:lang w:eastAsia="zh-CN"/>
        </w:rPr>
        <w:t>年1月1日以来无安全考核不良记录。</w:t>
      </w:r>
    </w:p>
    <w:p w14:paraId="0BF67DCF">
      <w:pPr>
        <w:keepNext w:val="0"/>
        <w:keepLines w:val="0"/>
        <w:pageBreakBefore w:val="0"/>
        <w:widowControl/>
        <w:kinsoku/>
        <w:wordWrap w:val="0"/>
        <w:overflowPunct/>
        <w:topLinePunct w:val="0"/>
        <w:bidi w:val="0"/>
        <w:adjustRightInd w:val="0"/>
        <w:snapToGrid w:val="0"/>
        <w:spacing w:before="190" w:beforeLines="50" w:line="360" w:lineRule="auto"/>
        <w:ind w:right="0" w:rightChars="0"/>
        <w:jc w:val="both"/>
        <w:textAlignment w:val="auto"/>
        <w:rPr>
          <w:rFonts w:hint="eastAsia" w:ascii="宋体" w:hAnsi="宋体" w:eastAsia="宋体" w:cs="宋体"/>
          <w:b/>
          <w:bCs w:val="0"/>
          <w:color w:val="auto"/>
          <w:kern w:val="2"/>
          <w:sz w:val="24"/>
          <w:szCs w:val="24"/>
          <w:highlight w:val="none"/>
          <w:lang w:val="en-US" w:eastAsia="zh-CN" w:bidi="ar-SA"/>
        </w:rPr>
      </w:pPr>
      <w:r>
        <w:rPr>
          <w:rFonts w:hint="eastAsia" w:ascii="宋体" w:hAnsi="宋体" w:eastAsia="宋体" w:cs="宋体"/>
          <w:b/>
          <w:bCs w:val="0"/>
          <w:sz w:val="24"/>
          <w:szCs w:val="24"/>
          <w:highlight w:val="none"/>
          <w:lang w:val="en-US" w:eastAsia="zh-CN"/>
        </w:rPr>
        <w:t>8、</w:t>
      </w:r>
      <w:r>
        <w:rPr>
          <w:rFonts w:hint="eastAsia" w:ascii="宋体" w:hAnsi="宋体" w:eastAsia="宋体" w:cs="宋体"/>
          <w:b/>
          <w:bCs w:val="0"/>
          <w:color w:val="auto"/>
          <w:kern w:val="2"/>
          <w:sz w:val="24"/>
          <w:szCs w:val="24"/>
          <w:highlight w:val="none"/>
          <w:lang w:val="en-US" w:eastAsia="zh-CN" w:bidi="ar-SA"/>
        </w:rPr>
        <w:t>验收</w:t>
      </w:r>
    </w:p>
    <w:p w14:paraId="406B79D4">
      <w:pPr>
        <w:keepNext w:val="0"/>
        <w:keepLines w:val="0"/>
        <w:pageBreakBefore w:val="0"/>
        <w:widowControl/>
        <w:kinsoku/>
        <w:wordWrap w:val="0"/>
        <w:overflowPunct/>
        <w:topLinePunct w:val="0"/>
        <w:autoSpaceDE/>
        <w:autoSpaceDN/>
        <w:bidi w:val="0"/>
        <w:adjustRightInd w:val="0"/>
        <w:snapToGrid w:val="0"/>
        <w:spacing w:line="360" w:lineRule="auto"/>
        <w:ind w:right="0" w:rightChars="0" w:firstLine="480" w:firstLineChars="200"/>
        <w:jc w:val="both"/>
        <w:textAlignment w:val="auto"/>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1、服务期满后，先由乙方进行自检，自检合格后，邀请甲方进行验收。甲方进行考核验收，确认服务标准和服务方式是否达到采购要求。甲方确认乙方的自检内容后，组织乙方进行验收，必要时可以邀请第三方机构或有关专家进行考核验收（费用由乙方承担）。</w:t>
      </w:r>
    </w:p>
    <w:p w14:paraId="7A79BCB9">
      <w:pPr>
        <w:keepNext w:val="0"/>
        <w:keepLines w:val="0"/>
        <w:pageBreakBefore w:val="0"/>
        <w:widowControl/>
        <w:kinsoku/>
        <w:wordWrap w:val="0"/>
        <w:overflowPunct/>
        <w:topLinePunct w:val="0"/>
        <w:autoSpaceDE/>
        <w:autoSpaceDN/>
        <w:bidi w:val="0"/>
        <w:adjustRightInd w:val="0"/>
        <w:snapToGrid w:val="0"/>
        <w:spacing w:line="360" w:lineRule="auto"/>
        <w:ind w:right="0" w:rightChars="0" w:firstLine="480" w:firstLineChars="200"/>
        <w:jc w:val="both"/>
        <w:textAlignment w:val="auto"/>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2、乙方向甲方提交服务实施过程中的所有资料。以便甲方日后管理和维护。</w:t>
      </w:r>
    </w:p>
    <w:p w14:paraId="6415F2B0">
      <w:pPr>
        <w:keepNext w:val="0"/>
        <w:keepLines w:val="0"/>
        <w:pageBreakBefore w:val="0"/>
        <w:widowControl/>
        <w:kinsoku/>
        <w:wordWrap w:val="0"/>
        <w:overflowPunct/>
        <w:topLinePunct w:val="0"/>
        <w:bidi w:val="0"/>
        <w:adjustRightInd w:val="0"/>
        <w:snapToGrid w:val="0"/>
        <w:spacing w:line="360" w:lineRule="auto"/>
        <w:ind w:right="0" w:rightChars="0"/>
        <w:jc w:val="both"/>
        <w:textAlignment w:val="auto"/>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9、违约责任</w:t>
      </w:r>
    </w:p>
    <w:p w14:paraId="6439A4B0">
      <w:pPr>
        <w:keepNext w:val="0"/>
        <w:keepLines w:val="0"/>
        <w:pageBreakBefore w:val="0"/>
        <w:widowControl/>
        <w:kinsoku/>
        <w:wordWrap w:val="0"/>
        <w:overflowPunct/>
        <w:topLinePunct w:val="0"/>
        <w:bidi w:val="0"/>
        <w:adjustRightInd w:val="0"/>
        <w:snapToGrid w:val="0"/>
        <w:spacing w:line="360" w:lineRule="auto"/>
        <w:ind w:right="0" w:rightChars="0" w:firstLine="480" w:firstLineChars="200"/>
        <w:jc w:val="both"/>
        <w:textAlignment w:val="auto"/>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9.1按《民法典》中的相关条款执行。</w:t>
      </w:r>
    </w:p>
    <w:p w14:paraId="44719071">
      <w:pPr>
        <w:keepNext w:val="0"/>
        <w:keepLines w:val="0"/>
        <w:pageBreakBefore w:val="0"/>
        <w:widowControl/>
        <w:kinsoku/>
        <w:wordWrap w:val="0"/>
        <w:overflowPunct/>
        <w:topLinePunct w:val="0"/>
        <w:bidi w:val="0"/>
        <w:adjustRightInd w:val="0"/>
        <w:snapToGrid w:val="0"/>
        <w:spacing w:line="360" w:lineRule="auto"/>
        <w:ind w:right="0" w:rightChars="0" w:firstLine="480" w:firstLineChars="200"/>
        <w:jc w:val="both"/>
        <w:textAlignment w:val="auto"/>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9.2未按合同要求提供服务或服务质量不能满足合同要求，甲方应当将乙方违约的情况以及拟采取的措施以书面形式报政府采购监管部门，根据政府采购监管部门的处理意见，甲方有权依据《民法典》有关条款及合同约定终止合同，并要求乙方承担违约责任。同时，政府采购监管部门有权依据《政府采购法》及相关法律法规对乙方的违法行为进行相应的处罚。</w:t>
      </w:r>
    </w:p>
    <w:p w14:paraId="5042D29D">
      <w:pPr>
        <w:keepNext w:val="0"/>
        <w:keepLines w:val="0"/>
        <w:pageBreakBefore w:val="0"/>
        <w:widowControl/>
        <w:kinsoku/>
        <w:wordWrap w:val="0"/>
        <w:overflowPunct/>
        <w:topLinePunct w:val="0"/>
        <w:bidi w:val="0"/>
        <w:adjustRightInd w:val="0"/>
        <w:snapToGrid w:val="0"/>
        <w:spacing w:line="360" w:lineRule="auto"/>
        <w:ind w:right="0" w:rightChars="0" w:firstLine="480" w:firstLineChars="200"/>
        <w:jc w:val="both"/>
        <w:textAlignment w:val="auto"/>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9.3在本合同履行过程中，双方因违约或造成对方经济、社会效益等损失的应当赔偿。</w:t>
      </w:r>
    </w:p>
    <w:p w14:paraId="26440C6C">
      <w:pPr>
        <w:keepNext w:val="0"/>
        <w:keepLines w:val="0"/>
        <w:pageBreakBefore w:val="0"/>
        <w:widowControl/>
        <w:kinsoku/>
        <w:wordWrap w:val="0"/>
        <w:overflowPunct/>
        <w:topLinePunct w:val="0"/>
        <w:bidi w:val="0"/>
        <w:adjustRightInd w:val="0"/>
        <w:snapToGrid w:val="0"/>
        <w:spacing w:line="360" w:lineRule="auto"/>
        <w:ind w:right="0" w:rightChars="0" w:firstLine="480" w:firstLineChars="200"/>
        <w:jc w:val="both"/>
        <w:textAlignment w:val="auto"/>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9.4乙方提供的服务不符合本项目相关文件和本合同规定的，甲方有权拒绝，凡属乙方原因造成的维修保养问题和甲方损失，乙方应承担全部责任并全额赔偿甲方损失。并且乙方须向甲方支付本合同总价款30%的违约金。</w:t>
      </w:r>
    </w:p>
    <w:p w14:paraId="5BD87CD4">
      <w:pPr>
        <w:keepNext w:val="0"/>
        <w:keepLines w:val="0"/>
        <w:pageBreakBefore w:val="0"/>
        <w:widowControl/>
        <w:kinsoku/>
        <w:wordWrap w:val="0"/>
        <w:overflowPunct/>
        <w:topLinePunct w:val="0"/>
        <w:bidi w:val="0"/>
        <w:adjustRightInd w:val="0"/>
        <w:snapToGrid w:val="0"/>
        <w:spacing w:line="360" w:lineRule="auto"/>
        <w:ind w:right="0" w:rightChars="0" w:firstLine="480" w:firstLineChars="200"/>
        <w:jc w:val="both"/>
        <w:textAlignment w:val="auto"/>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9.5乙方未能按照本合同约定时间提供服务或完成约定的项目服务内容的，从逾期之日起每日按本合同总价款5%的数额向甲方支付违约金；逾期5日以上的，甲方有权终止合同，由此造成的甲方经济损失由乙方承担。</w:t>
      </w:r>
    </w:p>
    <w:p w14:paraId="7387DE8A">
      <w:pPr>
        <w:keepNext w:val="0"/>
        <w:keepLines w:val="0"/>
        <w:pageBreakBefore w:val="0"/>
        <w:widowControl/>
        <w:kinsoku/>
        <w:wordWrap w:val="0"/>
        <w:overflowPunct/>
        <w:topLinePunct w:val="0"/>
        <w:bidi w:val="0"/>
        <w:adjustRightInd w:val="0"/>
        <w:snapToGrid w:val="0"/>
        <w:spacing w:line="360" w:lineRule="auto"/>
        <w:ind w:right="0" w:rightChars="0" w:firstLine="480" w:firstLineChars="200"/>
        <w:jc w:val="both"/>
        <w:textAlignment w:val="auto"/>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9.6乙方不得擅自将本合同服务转包第三方承担。</w:t>
      </w:r>
    </w:p>
    <w:p w14:paraId="59F3585C">
      <w:pPr>
        <w:keepNext w:val="0"/>
        <w:keepLines w:val="0"/>
        <w:pageBreakBefore w:val="0"/>
        <w:widowControl/>
        <w:kinsoku/>
        <w:wordWrap w:val="0"/>
        <w:overflowPunct/>
        <w:topLinePunct w:val="0"/>
        <w:bidi w:val="0"/>
        <w:adjustRightInd w:val="0"/>
        <w:snapToGrid w:val="0"/>
        <w:spacing w:line="360" w:lineRule="auto"/>
        <w:ind w:right="0" w:rightChars="0" w:firstLine="480" w:firstLineChars="200"/>
        <w:jc w:val="both"/>
        <w:textAlignment w:val="auto"/>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9.7若乙方对故障处理响应不及时，则视为乙方违约，违约金按本合同总价款的5%计算，累计超过5次以上的，甲方有权解除合同。</w:t>
      </w:r>
    </w:p>
    <w:p w14:paraId="0733CC67">
      <w:pPr>
        <w:keepNext w:val="0"/>
        <w:keepLines w:val="0"/>
        <w:pageBreakBefore w:val="0"/>
        <w:widowControl/>
        <w:kinsoku/>
        <w:wordWrap w:val="0"/>
        <w:overflowPunct/>
        <w:topLinePunct w:val="0"/>
        <w:bidi w:val="0"/>
        <w:adjustRightInd w:val="0"/>
        <w:snapToGrid w:val="0"/>
        <w:spacing w:line="360" w:lineRule="auto"/>
        <w:ind w:right="0" w:rightChars="0" w:firstLine="480" w:firstLineChars="200"/>
        <w:jc w:val="both"/>
        <w:textAlignment w:val="auto"/>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9.8若乙方未及时填写《消防控制室值班记录》和《建筑消防设施巡查记录》、向甲方出具月检自检报告及相关职能部门有特殊要求上报的未按其规定时间上报，除因特殊原因由甲、乙双方协定外，则视为乙方违约，违约金按本合同总价款的5%计算。</w:t>
      </w:r>
    </w:p>
    <w:p w14:paraId="58FCF033">
      <w:pPr>
        <w:keepNext w:val="0"/>
        <w:keepLines w:val="0"/>
        <w:pageBreakBefore w:val="0"/>
        <w:widowControl/>
        <w:kinsoku/>
        <w:wordWrap w:val="0"/>
        <w:overflowPunct/>
        <w:topLinePunct w:val="0"/>
        <w:bidi w:val="0"/>
        <w:adjustRightInd w:val="0"/>
        <w:snapToGrid w:val="0"/>
        <w:spacing w:line="360" w:lineRule="auto"/>
        <w:ind w:right="0" w:rightChars="0" w:firstLine="480" w:firstLineChars="200"/>
        <w:jc w:val="both"/>
        <w:textAlignment w:val="auto"/>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9.9若乙方未履行响应文件确定的消防维保等相关义务和责任，包括乙方维保人员值班期间擅自脱岗、离岗，造成不良后果的，则视为乙方违约，乙方应承担相应的责任，同时甲方有权单方面解除合同。</w:t>
      </w:r>
    </w:p>
    <w:p w14:paraId="09B88302">
      <w:pPr>
        <w:keepNext w:val="0"/>
        <w:keepLines w:val="0"/>
        <w:pageBreakBefore w:val="0"/>
        <w:numPr>
          <w:ilvl w:val="0"/>
          <w:numId w:val="0"/>
        </w:numPr>
        <w:kinsoku/>
        <w:overflowPunct/>
        <w:topLinePunct w:val="0"/>
        <w:bidi w:val="0"/>
        <w:adjustRightInd w:val="0"/>
        <w:snapToGrid w:val="0"/>
        <w:spacing w:line="360" w:lineRule="auto"/>
        <w:ind w:firstLine="480" w:firstLineChars="200"/>
        <w:jc w:val="both"/>
        <w:rPr>
          <w:rFonts w:hint="eastAsia" w:ascii="宋体" w:hAnsi="宋体" w:eastAsia="宋体" w:cs="宋体"/>
          <w:bCs/>
          <w:sz w:val="24"/>
          <w:szCs w:val="24"/>
          <w:highlight w:val="none"/>
        </w:rPr>
      </w:pPr>
      <w:r>
        <w:rPr>
          <w:rFonts w:hint="eastAsia" w:ascii="宋体" w:hAnsi="宋体" w:eastAsia="宋体" w:cs="宋体"/>
          <w:b w:val="0"/>
          <w:bCs w:val="0"/>
          <w:color w:val="auto"/>
          <w:kern w:val="2"/>
          <w:sz w:val="24"/>
          <w:szCs w:val="24"/>
          <w:highlight w:val="none"/>
          <w:lang w:val="en-US" w:eastAsia="zh-CN" w:bidi="ar-SA"/>
        </w:rPr>
        <w:t>9.10若乙方被行业主管部门通报或者存在服务态度恶劣等问题，甲方有权单方面解除合同。</w:t>
      </w:r>
    </w:p>
    <w:p w14:paraId="3478F080">
      <w:pPr>
        <w:keepNext w:val="0"/>
        <w:keepLines w:val="0"/>
        <w:pageBreakBefore w:val="0"/>
        <w:widowControl/>
        <w:kinsoku/>
        <w:wordWrap w:val="0"/>
        <w:overflowPunct/>
        <w:topLinePunct w:val="0"/>
        <w:bidi w:val="0"/>
        <w:adjustRightInd w:val="0"/>
        <w:snapToGrid w:val="0"/>
        <w:spacing w:line="360" w:lineRule="auto"/>
        <w:ind w:right="0" w:rightChars="0"/>
        <w:jc w:val="both"/>
        <w:textAlignment w:val="auto"/>
        <w:rPr>
          <w:rFonts w:hint="eastAsia" w:ascii="宋体" w:hAnsi="宋体" w:eastAsia="宋体" w:cs="宋体"/>
          <w:b/>
          <w:bCs w:val="0"/>
          <w:color w:val="auto"/>
          <w:kern w:val="2"/>
          <w:sz w:val="24"/>
          <w:szCs w:val="24"/>
          <w:highlight w:val="none"/>
          <w:lang w:val="en-US" w:eastAsia="zh-CN" w:bidi="ar-SA"/>
        </w:rPr>
      </w:pPr>
      <w:r>
        <w:rPr>
          <w:rFonts w:hint="eastAsia" w:ascii="宋体" w:hAnsi="宋体" w:eastAsia="宋体" w:cs="宋体"/>
          <w:b/>
          <w:bCs w:val="0"/>
          <w:sz w:val="24"/>
          <w:szCs w:val="24"/>
          <w:highlight w:val="none"/>
          <w:lang w:val="en-US" w:eastAsia="zh-CN"/>
        </w:rPr>
        <w:t>10</w:t>
      </w:r>
      <w:r>
        <w:rPr>
          <w:rFonts w:hint="eastAsia" w:ascii="宋体" w:hAnsi="宋体" w:eastAsia="宋体" w:cs="宋体"/>
          <w:b/>
          <w:bCs w:val="0"/>
          <w:sz w:val="24"/>
          <w:szCs w:val="24"/>
          <w:highlight w:val="none"/>
        </w:rPr>
        <w:t>、</w:t>
      </w:r>
      <w:r>
        <w:rPr>
          <w:rFonts w:hint="eastAsia" w:ascii="宋体" w:hAnsi="宋体" w:eastAsia="宋体" w:cs="宋体"/>
          <w:b/>
          <w:bCs w:val="0"/>
          <w:color w:val="auto"/>
          <w:kern w:val="2"/>
          <w:sz w:val="24"/>
          <w:szCs w:val="24"/>
          <w:highlight w:val="none"/>
          <w:lang w:val="en-US" w:eastAsia="zh-CN" w:bidi="ar-SA"/>
        </w:rPr>
        <w:t>保密条款</w:t>
      </w:r>
    </w:p>
    <w:p w14:paraId="574D78DA">
      <w:pPr>
        <w:keepNext w:val="0"/>
        <w:keepLines w:val="0"/>
        <w:pageBreakBefore w:val="0"/>
        <w:widowControl/>
        <w:kinsoku/>
        <w:wordWrap w:val="0"/>
        <w:overflowPunct/>
        <w:topLinePunct w:val="0"/>
        <w:bidi w:val="0"/>
        <w:adjustRightInd w:val="0"/>
        <w:snapToGrid w:val="0"/>
        <w:spacing w:line="360" w:lineRule="auto"/>
        <w:ind w:right="0" w:rightChars="0" w:firstLine="480" w:firstLineChars="200"/>
        <w:jc w:val="both"/>
        <w:textAlignment w:val="auto"/>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10.1乙方应遵守国家有关保密的法律法规和行业规定，并对甲方提供的资料负有保密义务。未经甲方同意，不得将承接政府服务项目获得的政府、公民个人等各种信息和资料提供给其他单位和个人。如发生以上情况，甲方有权索赔。</w:t>
      </w:r>
    </w:p>
    <w:p w14:paraId="5095769A">
      <w:pPr>
        <w:keepNext w:val="0"/>
        <w:keepLines w:val="0"/>
        <w:pageBreakBefore w:val="0"/>
        <w:widowControl/>
        <w:kinsoku/>
        <w:wordWrap w:val="0"/>
        <w:overflowPunct/>
        <w:topLinePunct w:val="0"/>
        <w:bidi w:val="0"/>
        <w:adjustRightInd w:val="0"/>
        <w:snapToGrid w:val="0"/>
        <w:spacing w:line="360" w:lineRule="auto"/>
        <w:ind w:right="0" w:rightChars="0" w:firstLine="480" w:firstLineChars="200"/>
        <w:jc w:val="both"/>
        <w:textAlignment w:val="auto"/>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10.2甲方有义务保护乙方的知识产权，未经乙方同意，不得将乙方交付的具有知识产权性质的成果文件、资料向第三方转让或用于本合同以外的项目。如发生以上情况，乙方有权索赔，但甲方依据相关法定职责对外公开的除外。</w:t>
      </w:r>
    </w:p>
    <w:p w14:paraId="326CE216">
      <w:pPr>
        <w:keepNext w:val="0"/>
        <w:keepLines w:val="0"/>
        <w:pageBreakBefore w:val="0"/>
        <w:kinsoku/>
        <w:overflowPunct/>
        <w:topLinePunct w:val="0"/>
        <w:bidi w:val="0"/>
        <w:adjustRightInd w:val="0"/>
        <w:snapToGrid w:val="0"/>
        <w:spacing w:line="360" w:lineRule="auto"/>
        <w:ind w:firstLine="480" w:firstLineChars="200"/>
        <w:jc w:val="both"/>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10.3本条款为独立条款，本合同的无效、变更、解除和终止均不影响本条款的效力。</w:t>
      </w:r>
    </w:p>
    <w:p w14:paraId="66E08DE7">
      <w:pPr>
        <w:keepNext w:val="0"/>
        <w:keepLines w:val="0"/>
        <w:pageBreakBefore w:val="0"/>
        <w:kinsoku/>
        <w:overflowPunct/>
        <w:topLinePunct w:val="0"/>
        <w:bidi w:val="0"/>
        <w:adjustRightInd w:val="0"/>
        <w:snapToGrid w:val="0"/>
        <w:spacing w:line="360" w:lineRule="auto"/>
        <w:jc w:val="both"/>
        <w:rPr>
          <w:rFonts w:hint="eastAsia" w:ascii="宋体" w:hAnsi="宋体" w:eastAsia="宋体" w:cs="宋体"/>
          <w:b/>
          <w:bCs w:val="0"/>
          <w:sz w:val="24"/>
          <w:szCs w:val="24"/>
          <w:highlight w:val="none"/>
          <w:lang w:val="en-US" w:eastAsia="zh-CN"/>
        </w:rPr>
      </w:pPr>
      <w:r>
        <w:rPr>
          <w:rFonts w:hint="eastAsia" w:ascii="宋体" w:hAnsi="宋体" w:eastAsia="宋体" w:cs="宋体"/>
          <w:b/>
          <w:bCs w:val="0"/>
          <w:sz w:val="24"/>
          <w:szCs w:val="24"/>
          <w:highlight w:val="none"/>
          <w:lang w:val="en-US" w:eastAsia="zh-CN"/>
        </w:rPr>
        <w:t>11、争议解决</w:t>
      </w:r>
    </w:p>
    <w:p w14:paraId="261F7368">
      <w:pPr>
        <w:keepNext w:val="0"/>
        <w:keepLines w:val="0"/>
        <w:pageBreakBefore w:val="0"/>
        <w:kinsoku/>
        <w:overflowPunct/>
        <w:topLinePunct w:val="0"/>
        <w:bidi w:val="0"/>
        <w:adjustRightInd w:val="0"/>
        <w:snapToGrid w:val="0"/>
        <w:spacing w:line="360" w:lineRule="auto"/>
        <w:jc w:val="both"/>
        <w:rPr>
          <w:rFonts w:hint="eastAsia" w:ascii="宋体" w:hAnsi="宋体" w:eastAsia="宋体" w:cs="宋体"/>
          <w:bCs/>
          <w:sz w:val="24"/>
          <w:szCs w:val="24"/>
          <w:highlight w:val="none"/>
          <w:lang w:val="en-US" w:eastAsia="zh-CN"/>
        </w:rPr>
      </w:pPr>
      <w:r>
        <w:rPr>
          <w:rFonts w:hint="eastAsia" w:ascii="宋体" w:hAnsi="宋体" w:eastAsia="宋体" w:cs="宋体"/>
          <w:bCs/>
          <w:sz w:val="24"/>
          <w:szCs w:val="24"/>
          <w:highlight w:val="none"/>
          <w:lang w:val="en-US" w:eastAsia="zh-CN"/>
        </w:rPr>
        <w:t>11.1本合同在履行过程中发生的争议，由甲、乙双方当事人协商解决，协商不成的按下列第 1 种方式解决：</w:t>
      </w:r>
    </w:p>
    <w:p w14:paraId="764A1B2B">
      <w:pPr>
        <w:keepNext w:val="0"/>
        <w:keepLines w:val="0"/>
        <w:pageBreakBefore w:val="0"/>
        <w:kinsoku/>
        <w:overflowPunct/>
        <w:topLinePunct w:val="0"/>
        <w:bidi w:val="0"/>
        <w:adjustRightInd w:val="0"/>
        <w:snapToGrid w:val="0"/>
        <w:spacing w:line="360" w:lineRule="auto"/>
        <w:ind w:firstLine="480" w:firstLineChars="200"/>
        <w:jc w:val="both"/>
        <w:rPr>
          <w:rFonts w:hint="eastAsia" w:ascii="宋体" w:hAnsi="宋体" w:eastAsia="宋体" w:cs="宋体"/>
          <w:bCs/>
          <w:sz w:val="24"/>
          <w:szCs w:val="24"/>
          <w:highlight w:val="none"/>
          <w:lang w:val="en-US" w:eastAsia="zh-CN"/>
        </w:rPr>
      </w:pPr>
      <w:r>
        <w:rPr>
          <w:rFonts w:hint="eastAsia" w:ascii="宋体" w:hAnsi="宋体" w:eastAsia="宋体" w:cs="宋体"/>
          <w:bCs/>
          <w:sz w:val="24"/>
          <w:szCs w:val="24"/>
          <w:highlight w:val="none"/>
          <w:lang w:val="en-US" w:eastAsia="zh-CN"/>
        </w:rPr>
        <w:t>（1）提交西安仲裁委员会仲裁；</w:t>
      </w:r>
    </w:p>
    <w:p w14:paraId="1F884C96">
      <w:pPr>
        <w:keepNext w:val="0"/>
        <w:keepLines w:val="0"/>
        <w:pageBreakBefore w:val="0"/>
        <w:kinsoku/>
        <w:overflowPunct/>
        <w:topLinePunct w:val="0"/>
        <w:bidi w:val="0"/>
        <w:adjustRightInd w:val="0"/>
        <w:snapToGrid w:val="0"/>
        <w:spacing w:line="360" w:lineRule="auto"/>
        <w:ind w:firstLine="480" w:firstLineChars="200"/>
        <w:jc w:val="both"/>
        <w:rPr>
          <w:rFonts w:hint="eastAsia" w:ascii="宋体" w:hAnsi="宋体" w:eastAsia="宋体" w:cs="宋体"/>
          <w:bCs/>
          <w:sz w:val="24"/>
          <w:szCs w:val="24"/>
          <w:highlight w:val="none"/>
          <w:lang w:val="en-US" w:eastAsia="zh-CN"/>
        </w:rPr>
      </w:pPr>
      <w:r>
        <w:rPr>
          <w:rFonts w:hint="eastAsia" w:ascii="宋体" w:hAnsi="宋体" w:eastAsia="宋体" w:cs="宋体"/>
          <w:bCs/>
          <w:sz w:val="24"/>
          <w:szCs w:val="24"/>
          <w:highlight w:val="none"/>
          <w:lang w:val="en-US" w:eastAsia="zh-CN"/>
        </w:rPr>
        <w:t>（2）依法向甲方所在地人民法院起诉。</w:t>
      </w:r>
    </w:p>
    <w:p w14:paraId="452C249C">
      <w:pPr>
        <w:keepNext w:val="0"/>
        <w:keepLines w:val="0"/>
        <w:pageBreakBefore w:val="0"/>
        <w:kinsoku/>
        <w:overflowPunct/>
        <w:topLinePunct w:val="0"/>
        <w:bidi w:val="0"/>
        <w:adjustRightInd w:val="0"/>
        <w:snapToGrid w:val="0"/>
        <w:spacing w:line="360" w:lineRule="auto"/>
        <w:jc w:val="both"/>
        <w:rPr>
          <w:rFonts w:hint="eastAsia" w:ascii="宋体" w:hAnsi="宋体" w:eastAsia="宋体" w:cs="宋体"/>
          <w:bCs/>
          <w:sz w:val="24"/>
          <w:szCs w:val="24"/>
          <w:highlight w:val="none"/>
          <w:lang w:val="en-US" w:eastAsia="zh-CN"/>
        </w:rPr>
      </w:pPr>
      <w:r>
        <w:rPr>
          <w:rFonts w:hint="eastAsia" w:ascii="宋体" w:hAnsi="宋体" w:eastAsia="宋体" w:cs="宋体"/>
          <w:bCs/>
          <w:sz w:val="24"/>
          <w:szCs w:val="24"/>
          <w:highlight w:val="none"/>
          <w:lang w:val="en-US" w:eastAsia="zh-CN"/>
        </w:rPr>
        <w:t>11.2本条款为独立条款，本合同的无效、变更、解除和终止均不影响本条款的效力。</w:t>
      </w:r>
    </w:p>
    <w:p w14:paraId="6AAA7A29">
      <w:pPr>
        <w:keepNext w:val="0"/>
        <w:keepLines w:val="0"/>
        <w:pageBreakBefore w:val="0"/>
        <w:kinsoku/>
        <w:overflowPunct/>
        <w:topLinePunct w:val="0"/>
        <w:bidi w:val="0"/>
        <w:adjustRightInd w:val="0"/>
        <w:snapToGrid w:val="0"/>
        <w:spacing w:line="360" w:lineRule="auto"/>
        <w:jc w:val="both"/>
        <w:rPr>
          <w:rFonts w:hint="eastAsia" w:ascii="宋体" w:hAnsi="宋体" w:eastAsia="宋体" w:cs="宋体"/>
          <w:b/>
          <w:bCs w:val="0"/>
          <w:sz w:val="24"/>
          <w:szCs w:val="24"/>
          <w:highlight w:val="none"/>
          <w:lang w:val="en-US" w:eastAsia="zh-CN"/>
        </w:rPr>
      </w:pPr>
      <w:r>
        <w:rPr>
          <w:rFonts w:hint="eastAsia" w:ascii="宋体" w:hAnsi="宋体" w:eastAsia="宋体" w:cs="宋体"/>
          <w:b/>
          <w:bCs w:val="0"/>
          <w:sz w:val="24"/>
          <w:szCs w:val="24"/>
          <w:highlight w:val="none"/>
          <w:lang w:val="en-US" w:eastAsia="zh-CN"/>
        </w:rPr>
        <w:t>12、合同变更</w:t>
      </w:r>
    </w:p>
    <w:p w14:paraId="40EEE81C">
      <w:pPr>
        <w:keepNext w:val="0"/>
        <w:keepLines w:val="0"/>
        <w:pageBreakBefore w:val="0"/>
        <w:kinsoku/>
        <w:overflowPunct/>
        <w:topLinePunct w:val="0"/>
        <w:bidi w:val="0"/>
        <w:adjustRightInd w:val="0"/>
        <w:snapToGrid w:val="0"/>
        <w:spacing w:line="360" w:lineRule="auto"/>
        <w:ind w:firstLine="480" w:firstLineChars="200"/>
        <w:jc w:val="both"/>
        <w:rPr>
          <w:rFonts w:hint="eastAsia" w:ascii="宋体" w:hAnsi="宋体" w:eastAsia="宋体" w:cs="宋体"/>
          <w:bCs/>
          <w:sz w:val="24"/>
          <w:szCs w:val="24"/>
          <w:highlight w:val="none"/>
          <w:lang w:val="en-US" w:eastAsia="zh-CN"/>
        </w:rPr>
      </w:pPr>
      <w:r>
        <w:rPr>
          <w:rFonts w:hint="eastAsia" w:ascii="宋体" w:hAnsi="宋体" w:eastAsia="宋体" w:cs="宋体"/>
          <w:bCs/>
          <w:sz w:val="24"/>
          <w:szCs w:val="24"/>
          <w:highlight w:val="none"/>
          <w:lang w:val="en-US" w:eastAsia="zh-CN"/>
        </w:rPr>
        <w:t>在合同的执行期内，双方均不得随意变更或解除合同。如因项目需求情况发生变化，需要项目变更的，应双方协商后签订项目变更协议，并经鉴证方确认后生效（如双方变更事项不能达成一致的，仍按原合同履行，否则视为违约）。</w:t>
      </w:r>
    </w:p>
    <w:p w14:paraId="664ED0D6">
      <w:pPr>
        <w:keepNext w:val="0"/>
        <w:keepLines w:val="0"/>
        <w:pageBreakBefore w:val="0"/>
        <w:kinsoku/>
        <w:overflowPunct/>
        <w:topLinePunct w:val="0"/>
        <w:bidi w:val="0"/>
        <w:adjustRightInd w:val="0"/>
        <w:snapToGrid w:val="0"/>
        <w:spacing w:line="360" w:lineRule="auto"/>
        <w:jc w:val="both"/>
        <w:rPr>
          <w:rFonts w:hint="eastAsia" w:ascii="宋体" w:hAnsi="宋体" w:eastAsia="宋体" w:cs="宋体"/>
          <w:b/>
          <w:bCs w:val="0"/>
          <w:sz w:val="24"/>
          <w:szCs w:val="24"/>
          <w:highlight w:val="none"/>
          <w:lang w:val="en-US" w:eastAsia="zh-CN"/>
        </w:rPr>
      </w:pPr>
      <w:r>
        <w:rPr>
          <w:rFonts w:hint="eastAsia" w:ascii="宋体" w:hAnsi="宋体" w:eastAsia="宋体" w:cs="宋体"/>
          <w:b/>
          <w:bCs w:val="0"/>
          <w:sz w:val="24"/>
          <w:szCs w:val="24"/>
          <w:highlight w:val="none"/>
          <w:lang w:val="en-US" w:eastAsia="zh-CN"/>
        </w:rPr>
        <w:t>13、合同签订准入</w:t>
      </w:r>
    </w:p>
    <w:p w14:paraId="3001D59C">
      <w:pPr>
        <w:keepNext w:val="0"/>
        <w:keepLines w:val="0"/>
        <w:pageBreakBefore w:val="0"/>
        <w:kinsoku/>
        <w:overflowPunct/>
        <w:topLinePunct w:val="0"/>
        <w:bidi w:val="0"/>
        <w:adjustRightInd w:val="0"/>
        <w:snapToGrid w:val="0"/>
        <w:spacing w:line="360" w:lineRule="auto"/>
        <w:ind w:firstLine="480" w:firstLineChars="200"/>
        <w:jc w:val="both"/>
        <w:rPr>
          <w:rFonts w:hint="eastAsia" w:ascii="宋体" w:hAnsi="宋体" w:eastAsia="宋体" w:cs="宋体"/>
          <w:bCs/>
          <w:sz w:val="24"/>
          <w:szCs w:val="24"/>
          <w:highlight w:val="none"/>
          <w:lang w:val="en-US" w:eastAsia="zh-CN"/>
        </w:rPr>
      </w:pPr>
      <w:r>
        <w:rPr>
          <w:rFonts w:hint="eastAsia" w:ascii="宋体" w:hAnsi="宋体" w:eastAsia="宋体" w:cs="宋体"/>
          <w:bCs/>
          <w:sz w:val="24"/>
          <w:szCs w:val="24"/>
          <w:highlight w:val="none"/>
          <w:lang w:val="en-US" w:eastAsia="zh-CN"/>
        </w:rPr>
        <w:t>乙方承诺其在签订本合同之日前三年内未被行业主管部门通报列入“不具备从业条件违法开展消防技术服务活动以及违规执业机构名单”，在本合同履行期限内，若乙方被被行业主管部门通报列入“不具备从业条件违法开展消防技术服务活动以及违规执业机构名单”，甲方有权单方解除本合同并不承担任何违约责任。</w:t>
      </w:r>
    </w:p>
    <w:p w14:paraId="73C742D4">
      <w:pPr>
        <w:keepNext w:val="0"/>
        <w:keepLines w:val="0"/>
        <w:pageBreakBefore w:val="0"/>
        <w:kinsoku/>
        <w:overflowPunct/>
        <w:topLinePunct w:val="0"/>
        <w:bidi w:val="0"/>
        <w:adjustRightInd w:val="0"/>
        <w:snapToGrid w:val="0"/>
        <w:spacing w:line="360" w:lineRule="auto"/>
        <w:jc w:val="both"/>
        <w:rPr>
          <w:rFonts w:hint="eastAsia" w:ascii="宋体" w:hAnsi="宋体" w:eastAsia="宋体" w:cs="宋体"/>
          <w:b/>
          <w:bCs w:val="0"/>
          <w:sz w:val="24"/>
          <w:szCs w:val="24"/>
          <w:highlight w:val="none"/>
          <w:lang w:val="en-US" w:eastAsia="zh-CN"/>
        </w:rPr>
      </w:pPr>
      <w:r>
        <w:rPr>
          <w:rFonts w:hint="eastAsia" w:ascii="宋体" w:hAnsi="宋体" w:eastAsia="宋体" w:cs="宋体"/>
          <w:b/>
          <w:bCs w:val="0"/>
          <w:sz w:val="24"/>
          <w:szCs w:val="24"/>
          <w:highlight w:val="none"/>
          <w:lang w:val="en-US" w:eastAsia="zh-CN"/>
        </w:rPr>
        <w:t>14、附件</w:t>
      </w:r>
    </w:p>
    <w:p w14:paraId="751CB035">
      <w:pPr>
        <w:keepNext w:val="0"/>
        <w:keepLines w:val="0"/>
        <w:pageBreakBefore w:val="0"/>
        <w:kinsoku/>
        <w:overflowPunct/>
        <w:topLinePunct w:val="0"/>
        <w:bidi w:val="0"/>
        <w:adjustRightInd w:val="0"/>
        <w:snapToGrid w:val="0"/>
        <w:spacing w:line="360" w:lineRule="auto"/>
        <w:ind w:firstLine="480" w:firstLineChars="200"/>
        <w:jc w:val="both"/>
        <w:rPr>
          <w:rFonts w:hint="eastAsia" w:ascii="宋体" w:hAnsi="宋体" w:eastAsia="宋体" w:cs="宋体"/>
          <w:bCs/>
          <w:sz w:val="24"/>
          <w:szCs w:val="24"/>
          <w:highlight w:val="none"/>
        </w:rPr>
      </w:pPr>
      <w:r>
        <w:rPr>
          <w:rFonts w:hint="eastAsia" w:ascii="宋体" w:hAnsi="宋体" w:eastAsia="宋体" w:cs="宋体"/>
          <w:bCs/>
          <w:sz w:val="24"/>
          <w:szCs w:val="24"/>
          <w:highlight w:val="none"/>
          <w:lang w:val="en-US" w:eastAsia="zh-CN"/>
        </w:rPr>
        <w:t>消防设施设备维保考核办法（详见附件）。</w:t>
      </w:r>
    </w:p>
    <w:p w14:paraId="2C427233">
      <w:pPr>
        <w:keepNext w:val="0"/>
        <w:keepLines w:val="0"/>
        <w:pageBreakBefore w:val="0"/>
        <w:kinsoku/>
        <w:overflowPunct/>
        <w:topLinePunct w:val="0"/>
        <w:bidi w:val="0"/>
        <w:adjustRightInd w:val="0"/>
        <w:snapToGrid w:val="0"/>
        <w:spacing w:line="360" w:lineRule="auto"/>
        <w:jc w:val="both"/>
        <w:rPr>
          <w:rFonts w:hint="eastAsia" w:ascii="宋体" w:hAnsi="宋体" w:eastAsia="宋体" w:cs="宋体"/>
          <w:b/>
          <w:sz w:val="24"/>
          <w:szCs w:val="24"/>
          <w:highlight w:val="none"/>
        </w:rPr>
      </w:pPr>
      <w:r>
        <w:rPr>
          <w:rFonts w:hint="eastAsia" w:ascii="宋体" w:hAnsi="宋体" w:eastAsia="宋体" w:cs="宋体"/>
          <w:b/>
          <w:sz w:val="24"/>
          <w:szCs w:val="24"/>
          <w:highlight w:val="none"/>
        </w:rPr>
        <w:t>1</w:t>
      </w:r>
      <w:r>
        <w:rPr>
          <w:rFonts w:hint="eastAsia" w:ascii="宋体" w:hAnsi="宋体" w:eastAsia="宋体" w:cs="宋体"/>
          <w:b/>
          <w:sz w:val="24"/>
          <w:szCs w:val="24"/>
          <w:highlight w:val="none"/>
          <w:lang w:val="en-US" w:eastAsia="zh-CN"/>
        </w:rPr>
        <w:t>5</w:t>
      </w:r>
      <w:r>
        <w:rPr>
          <w:rFonts w:hint="eastAsia" w:ascii="宋体" w:hAnsi="宋体" w:eastAsia="宋体" w:cs="宋体"/>
          <w:b/>
          <w:sz w:val="24"/>
          <w:szCs w:val="24"/>
          <w:highlight w:val="none"/>
        </w:rPr>
        <w:t>、其他事项</w:t>
      </w:r>
    </w:p>
    <w:p w14:paraId="77CA208D">
      <w:pPr>
        <w:keepNext w:val="0"/>
        <w:keepLines w:val="0"/>
        <w:pageBreakBefore w:val="0"/>
        <w:kinsoku/>
        <w:overflowPunct/>
        <w:topLinePunct w:val="0"/>
        <w:bidi w:val="0"/>
        <w:adjustRightInd w:val="0"/>
        <w:snapToGrid w:val="0"/>
        <w:spacing w:line="360" w:lineRule="auto"/>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（一）乙方不得转让、分包给其它单位或个人。</w:t>
      </w:r>
    </w:p>
    <w:p w14:paraId="2D37B1DE">
      <w:pPr>
        <w:keepNext w:val="0"/>
        <w:keepLines w:val="0"/>
        <w:pageBreakBefore w:val="0"/>
        <w:kinsoku/>
        <w:overflowPunct/>
        <w:topLinePunct w:val="0"/>
        <w:bidi w:val="0"/>
        <w:adjustRightInd w:val="0"/>
        <w:snapToGrid w:val="0"/>
        <w:spacing w:line="360" w:lineRule="auto"/>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（二）乙方的响应文件和承诺等内容将列入合同。</w:t>
      </w:r>
    </w:p>
    <w:p w14:paraId="4E250CE3">
      <w:pPr>
        <w:keepNext w:val="0"/>
        <w:keepLines w:val="0"/>
        <w:pageBreakBefore w:val="0"/>
        <w:kinsoku/>
        <w:overflowPunct/>
        <w:topLinePunct w:val="0"/>
        <w:autoSpaceDE w:val="0"/>
        <w:autoSpaceDN w:val="0"/>
        <w:bidi w:val="0"/>
        <w:adjustRightInd w:val="0"/>
        <w:snapToGrid w:val="0"/>
        <w:spacing w:line="360" w:lineRule="auto"/>
        <w:jc w:val="both"/>
        <w:rPr>
          <w:rFonts w:hint="eastAsia" w:ascii="宋体" w:hAnsi="宋体" w:eastAsia="宋体" w:cs="宋体"/>
          <w:b/>
          <w:sz w:val="24"/>
          <w:szCs w:val="24"/>
          <w:highlight w:val="none"/>
        </w:rPr>
      </w:pPr>
      <w:r>
        <w:rPr>
          <w:rFonts w:hint="eastAsia" w:ascii="宋体" w:hAnsi="宋体" w:eastAsia="宋体" w:cs="宋体"/>
          <w:b/>
          <w:sz w:val="24"/>
          <w:szCs w:val="24"/>
          <w:highlight w:val="none"/>
        </w:rPr>
        <w:t>1</w:t>
      </w:r>
      <w:r>
        <w:rPr>
          <w:rFonts w:hint="eastAsia" w:ascii="宋体" w:hAnsi="宋体" w:eastAsia="宋体" w:cs="宋体"/>
          <w:b/>
          <w:sz w:val="24"/>
          <w:szCs w:val="24"/>
          <w:highlight w:val="none"/>
          <w:lang w:val="en-US" w:eastAsia="zh-CN"/>
        </w:rPr>
        <w:t>6</w:t>
      </w:r>
      <w:r>
        <w:rPr>
          <w:rFonts w:hint="eastAsia" w:ascii="宋体" w:hAnsi="宋体" w:eastAsia="宋体" w:cs="宋体"/>
          <w:b/>
          <w:sz w:val="24"/>
          <w:szCs w:val="24"/>
          <w:highlight w:val="none"/>
        </w:rPr>
        <w:t>、合同生效</w:t>
      </w:r>
    </w:p>
    <w:p w14:paraId="14F2085F">
      <w:pPr>
        <w:keepNext w:val="0"/>
        <w:keepLines w:val="0"/>
        <w:pageBreakBefore w:val="0"/>
        <w:kinsoku/>
        <w:overflowPunct/>
        <w:topLinePunct w:val="0"/>
        <w:autoSpaceDE w:val="0"/>
        <w:autoSpaceDN w:val="0"/>
        <w:bidi w:val="0"/>
        <w:adjustRightInd w:val="0"/>
        <w:snapToGrid w:val="0"/>
        <w:spacing w:line="360" w:lineRule="auto"/>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（一）本合同须经甲、</w:t>
      </w:r>
      <w:bookmarkStart w:id="4" w:name="_GoBack"/>
      <w:bookmarkEnd w:id="4"/>
      <w:r>
        <w:rPr>
          <w:rFonts w:hint="eastAsia" w:ascii="宋体" w:hAnsi="宋体" w:eastAsia="宋体" w:cs="宋体"/>
          <w:sz w:val="24"/>
          <w:szCs w:val="24"/>
          <w:highlight w:val="none"/>
        </w:rPr>
        <w:t>乙双方的法定代表人（授权代表）在合同书上签字并加盖本单位公章后正式生效。</w:t>
      </w:r>
    </w:p>
    <w:p w14:paraId="5C45E075">
      <w:pPr>
        <w:keepNext w:val="0"/>
        <w:keepLines w:val="0"/>
        <w:pageBreakBefore w:val="0"/>
        <w:kinsoku/>
        <w:overflowPunct/>
        <w:topLinePunct w:val="0"/>
        <w:autoSpaceDE w:val="0"/>
        <w:autoSpaceDN w:val="0"/>
        <w:bidi w:val="0"/>
        <w:adjustRightInd w:val="0"/>
        <w:snapToGrid w:val="0"/>
        <w:spacing w:line="360" w:lineRule="auto"/>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（二）合同生效后，甲、乙双方须严格执行本合同条款的规定，全面履行合同，违者按《</w:t>
      </w:r>
      <w:r>
        <w:rPr>
          <w:rFonts w:hint="eastAsia" w:ascii="宋体" w:hAnsi="宋体" w:eastAsia="宋体" w:cs="宋体"/>
          <w:bCs/>
          <w:sz w:val="24"/>
          <w:szCs w:val="24"/>
          <w:highlight w:val="none"/>
        </w:rPr>
        <w:t>中华人民共和国民法典</w:t>
      </w:r>
      <w:r>
        <w:rPr>
          <w:rFonts w:hint="eastAsia" w:ascii="宋体" w:hAnsi="宋体" w:eastAsia="宋体" w:cs="宋体"/>
          <w:sz w:val="24"/>
          <w:szCs w:val="24"/>
          <w:highlight w:val="none"/>
        </w:rPr>
        <w:t>》的有关规定承担相应责任。</w:t>
      </w:r>
    </w:p>
    <w:p w14:paraId="314E175E">
      <w:pPr>
        <w:keepNext w:val="0"/>
        <w:keepLines w:val="0"/>
        <w:pageBreakBefore w:val="0"/>
        <w:kinsoku/>
        <w:overflowPunct/>
        <w:topLinePunct w:val="0"/>
        <w:autoSpaceDE w:val="0"/>
        <w:autoSpaceDN w:val="0"/>
        <w:bidi w:val="0"/>
        <w:adjustRightInd w:val="0"/>
        <w:snapToGrid w:val="0"/>
        <w:spacing w:line="360" w:lineRule="auto"/>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（三）本合同一式</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份，甲乙双方各执</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份。</w:t>
      </w:r>
    </w:p>
    <w:p w14:paraId="0F0BFB49">
      <w:pPr>
        <w:keepNext w:val="0"/>
        <w:keepLines w:val="0"/>
        <w:pageBreakBefore w:val="0"/>
        <w:kinsoku/>
        <w:overflowPunct/>
        <w:topLinePunct w:val="0"/>
        <w:bidi w:val="0"/>
        <w:adjustRightInd w:val="0"/>
        <w:snapToGrid w:val="0"/>
        <w:spacing w:line="360" w:lineRule="auto"/>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（四）本合同如有未尽事宜，甲、乙双方协商解决。 </w:t>
      </w:r>
    </w:p>
    <w:tbl>
      <w:tblPr>
        <w:tblStyle w:val="10"/>
        <w:tblW w:w="0" w:type="auto"/>
        <w:jc w:val="center"/>
        <w:tblLayout w:type="fixed"/>
        <w:tblCellMar>
          <w:top w:w="0" w:type="dxa"/>
          <w:left w:w="108" w:type="dxa"/>
          <w:bottom w:w="0" w:type="dxa"/>
          <w:right w:w="108" w:type="dxa"/>
        </w:tblCellMar>
      </w:tblPr>
      <w:tblGrid>
        <w:gridCol w:w="4770"/>
        <w:gridCol w:w="4770"/>
      </w:tblGrid>
      <w:tr w14:paraId="64AC26A8">
        <w:tblPrEx>
          <w:tblCellMar>
            <w:top w:w="0" w:type="dxa"/>
            <w:left w:w="108" w:type="dxa"/>
            <w:bottom w:w="0" w:type="dxa"/>
            <w:right w:w="108" w:type="dxa"/>
          </w:tblCellMar>
        </w:tblPrEx>
        <w:trPr>
          <w:trHeight w:val="3440" w:hRule="atLeast"/>
          <w:jc w:val="center"/>
        </w:trPr>
        <w:tc>
          <w:tcPr>
            <w:tcW w:w="4770" w:type="dxa"/>
            <w:noWrap w:val="0"/>
            <w:vAlign w:val="top"/>
          </w:tcPr>
          <w:p w14:paraId="1BE64405">
            <w:pPr>
              <w:keepNext w:val="0"/>
              <w:keepLines w:val="0"/>
              <w:pageBreakBefore w:val="0"/>
              <w:widowControl/>
              <w:kinsoku/>
              <w:overflowPunct/>
              <w:topLinePunct w:val="0"/>
              <w:autoSpaceDE w:val="0"/>
              <w:autoSpaceDN w:val="0"/>
              <w:bidi w:val="0"/>
              <w:adjustRightInd w:val="0"/>
              <w:snapToGrid w:val="0"/>
              <w:spacing w:line="360" w:lineRule="auto"/>
              <w:ind w:right="-154" w:firstLine="480" w:firstLineChars="200"/>
              <w:jc w:val="both"/>
              <w:textAlignment w:val="bottom"/>
              <w:rPr>
                <w:rFonts w:hint="eastAsia" w:ascii="宋体" w:hAnsi="宋体" w:eastAsia="宋体" w:cs="宋体"/>
                <w:color w:val="000000"/>
                <w:kern w:val="0"/>
                <w:sz w:val="24"/>
                <w:szCs w:val="24"/>
                <w:highlight w:val="none"/>
              </w:rPr>
            </w:pPr>
          </w:p>
          <w:p w14:paraId="7025464A">
            <w:pPr>
              <w:keepNext w:val="0"/>
              <w:keepLines w:val="0"/>
              <w:pageBreakBefore w:val="0"/>
              <w:widowControl/>
              <w:kinsoku/>
              <w:overflowPunct/>
              <w:topLinePunct w:val="0"/>
              <w:autoSpaceDE w:val="0"/>
              <w:autoSpaceDN w:val="0"/>
              <w:bidi w:val="0"/>
              <w:adjustRightInd w:val="0"/>
              <w:snapToGrid w:val="0"/>
              <w:spacing w:line="360" w:lineRule="auto"/>
              <w:ind w:right="-154" w:firstLine="480" w:firstLineChars="200"/>
              <w:jc w:val="both"/>
              <w:textAlignment w:val="bottom"/>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甲方名称</w:t>
            </w:r>
            <w:r>
              <w:rPr>
                <w:rFonts w:hint="eastAsia" w:ascii="宋体" w:hAnsi="宋体" w:eastAsia="宋体" w:cs="宋体"/>
                <w:color w:val="000000"/>
                <w:spacing w:val="-20"/>
                <w:kern w:val="0"/>
                <w:sz w:val="24"/>
                <w:szCs w:val="24"/>
                <w:highlight w:val="none"/>
              </w:rPr>
              <w:t>（盖章）：</w:t>
            </w:r>
          </w:p>
          <w:p w14:paraId="4BFB2D89">
            <w:pPr>
              <w:keepNext w:val="0"/>
              <w:keepLines w:val="0"/>
              <w:pageBreakBefore w:val="0"/>
              <w:widowControl/>
              <w:kinsoku/>
              <w:overflowPunct/>
              <w:topLinePunct w:val="0"/>
              <w:autoSpaceDE w:val="0"/>
              <w:autoSpaceDN w:val="0"/>
              <w:bidi w:val="0"/>
              <w:adjustRightInd w:val="0"/>
              <w:snapToGrid w:val="0"/>
              <w:spacing w:line="360" w:lineRule="auto"/>
              <w:ind w:right="-154" w:firstLine="480" w:firstLineChars="200"/>
              <w:jc w:val="both"/>
              <w:textAlignment w:val="bottom"/>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地址：</w:t>
            </w:r>
          </w:p>
          <w:p w14:paraId="16CF177C">
            <w:pPr>
              <w:keepNext w:val="0"/>
              <w:keepLines w:val="0"/>
              <w:pageBreakBefore w:val="0"/>
              <w:widowControl/>
              <w:kinsoku/>
              <w:overflowPunct/>
              <w:topLinePunct w:val="0"/>
              <w:autoSpaceDE w:val="0"/>
              <w:autoSpaceDN w:val="0"/>
              <w:bidi w:val="0"/>
              <w:adjustRightInd w:val="0"/>
              <w:snapToGrid w:val="0"/>
              <w:spacing w:line="360" w:lineRule="auto"/>
              <w:ind w:right="-154" w:firstLine="480" w:firstLineChars="200"/>
              <w:jc w:val="both"/>
              <w:textAlignment w:val="bottom"/>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法定代表人/授权代理人（签字或盖章）：</w:t>
            </w:r>
          </w:p>
          <w:p w14:paraId="173F6E7F">
            <w:pPr>
              <w:keepNext w:val="0"/>
              <w:keepLines w:val="0"/>
              <w:pageBreakBefore w:val="0"/>
              <w:widowControl/>
              <w:kinsoku/>
              <w:overflowPunct/>
              <w:topLinePunct w:val="0"/>
              <w:autoSpaceDE w:val="0"/>
              <w:autoSpaceDN w:val="0"/>
              <w:bidi w:val="0"/>
              <w:adjustRightInd w:val="0"/>
              <w:snapToGrid w:val="0"/>
              <w:spacing w:line="360" w:lineRule="auto"/>
              <w:ind w:right="-154" w:firstLine="480" w:firstLineChars="200"/>
              <w:jc w:val="both"/>
              <w:textAlignment w:val="bottom"/>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电话：</w:t>
            </w:r>
          </w:p>
          <w:p w14:paraId="5B440501">
            <w:pPr>
              <w:keepNext w:val="0"/>
              <w:keepLines w:val="0"/>
              <w:pageBreakBefore w:val="0"/>
              <w:widowControl/>
              <w:kinsoku/>
              <w:overflowPunct/>
              <w:topLinePunct w:val="0"/>
              <w:autoSpaceDE w:val="0"/>
              <w:autoSpaceDN w:val="0"/>
              <w:bidi w:val="0"/>
              <w:adjustRightInd w:val="0"/>
              <w:snapToGrid w:val="0"/>
              <w:spacing w:line="360" w:lineRule="auto"/>
              <w:ind w:right="-154" w:firstLine="480" w:firstLineChars="200"/>
              <w:jc w:val="both"/>
              <w:textAlignment w:val="bottom"/>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开户银行：</w:t>
            </w:r>
          </w:p>
          <w:p w14:paraId="0E1AE7D2">
            <w:pPr>
              <w:keepNext w:val="0"/>
              <w:keepLines w:val="0"/>
              <w:pageBreakBefore w:val="0"/>
              <w:widowControl/>
              <w:kinsoku/>
              <w:overflowPunct/>
              <w:topLinePunct w:val="0"/>
              <w:autoSpaceDE w:val="0"/>
              <w:autoSpaceDN w:val="0"/>
              <w:bidi w:val="0"/>
              <w:adjustRightInd w:val="0"/>
              <w:snapToGrid w:val="0"/>
              <w:spacing w:line="360" w:lineRule="auto"/>
              <w:ind w:right="-154" w:firstLine="480" w:firstLineChars="200"/>
              <w:jc w:val="both"/>
              <w:textAlignment w:val="bottom"/>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账号：</w:t>
            </w:r>
          </w:p>
        </w:tc>
        <w:tc>
          <w:tcPr>
            <w:tcW w:w="4770" w:type="dxa"/>
            <w:noWrap w:val="0"/>
            <w:vAlign w:val="top"/>
          </w:tcPr>
          <w:p w14:paraId="1C16363F">
            <w:pPr>
              <w:keepNext w:val="0"/>
              <w:keepLines w:val="0"/>
              <w:pageBreakBefore w:val="0"/>
              <w:widowControl/>
              <w:kinsoku/>
              <w:overflowPunct/>
              <w:topLinePunct w:val="0"/>
              <w:autoSpaceDE w:val="0"/>
              <w:autoSpaceDN w:val="0"/>
              <w:bidi w:val="0"/>
              <w:adjustRightInd w:val="0"/>
              <w:snapToGrid w:val="0"/>
              <w:spacing w:line="360" w:lineRule="auto"/>
              <w:ind w:right="-154" w:firstLine="480" w:firstLineChars="200"/>
              <w:jc w:val="both"/>
              <w:textAlignment w:val="bottom"/>
              <w:rPr>
                <w:rFonts w:hint="eastAsia" w:ascii="宋体" w:hAnsi="宋体" w:eastAsia="宋体" w:cs="宋体"/>
                <w:color w:val="000000"/>
                <w:kern w:val="0"/>
                <w:sz w:val="24"/>
                <w:szCs w:val="24"/>
                <w:highlight w:val="none"/>
              </w:rPr>
            </w:pPr>
          </w:p>
          <w:p w14:paraId="4EBBD27C">
            <w:pPr>
              <w:keepNext w:val="0"/>
              <w:keepLines w:val="0"/>
              <w:pageBreakBefore w:val="0"/>
              <w:widowControl/>
              <w:kinsoku/>
              <w:overflowPunct/>
              <w:topLinePunct w:val="0"/>
              <w:autoSpaceDE w:val="0"/>
              <w:autoSpaceDN w:val="0"/>
              <w:bidi w:val="0"/>
              <w:adjustRightInd w:val="0"/>
              <w:snapToGrid w:val="0"/>
              <w:spacing w:line="360" w:lineRule="auto"/>
              <w:ind w:right="-154" w:firstLine="480" w:firstLineChars="200"/>
              <w:jc w:val="both"/>
              <w:textAlignment w:val="bottom"/>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乙方名称</w:t>
            </w:r>
            <w:r>
              <w:rPr>
                <w:rFonts w:hint="eastAsia" w:ascii="宋体" w:hAnsi="宋体" w:eastAsia="宋体" w:cs="宋体"/>
                <w:color w:val="000000"/>
                <w:spacing w:val="-20"/>
                <w:kern w:val="0"/>
                <w:sz w:val="24"/>
                <w:szCs w:val="24"/>
                <w:highlight w:val="none"/>
              </w:rPr>
              <w:t>（盖章）：</w:t>
            </w:r>
          </w:p>
          <w:p w14:paraId="7DE83BAE">
            <w:pPr>
              <w:keepNext w:val="0"/>
              <w:keepLines w:val="0"/>
              <w:pageBreakBefore w:val="0"/>
              <w:widowControl/>
              <w:kinsoku/>
              <w:overflowPunct/>
              <w:topLinePunct w:val="0"/>
              <w:autoSpaceDE w:val="0"/>
              <w:autoSpaceDN w:val="0"/>
              <w:bidi w:val="0"/>
              <w:adjustRightInd w:val="0"/>
              <w:snapToGrid w:val="0"/>
              <w:spacing w:line="360" w:lineRule="auto"/>
              <w:ind w:right="-154" w:firstLine="480" w:firstLineChars="200"/>
              <w:jc w:val="both"/>
              <w:textAlignment w:val="bottom"/>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地址：</w:t>
            </w:r>
          </w:p>
          <w:p w14:paraId="2D6ED5EA">
            <w:pPr>
              <w:keepNext w:val="0"/>
              <w:keepLines w:val="0"/>
              <w:pageBreakBefore w:val="0"/>
              <w:widowControl/>
              <w:kinsoku/>
              <w:overflowPunct/>
              <w:topLinePunct w:val="0"/>
              <w:autoSpaceDE w:val="0"/>
              <w:autoSpaceDN w:val="0"/>
              <w:bidi w:val="0"/>
              <w:adjustRightInd w:val="0"/>
              <w:snapToGrid w:val="0"/>
              <w:spacing w:line="360" w:lineRule="auto"/>
              <w:ind w:right="-154" w:firstLine="480" w:firstLineChars="200"/>
              <w:jc w:val="both"/>
              <w:textAlignment w:val="bottom"/>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法定代表人/授权代理人（签字或盖章）：</w:t>
            </w:r>
          </w:p>
          <w:p w14:paraId="7B76F12A">
            <w:pPr>
              <w:keepNext w:val="0"/>
              <w:keepLines w:val="0"/>
              <w:pageBreakBefore w:val="0"/>
              <w:widowControl/>
              <w:kinsoku/>
              <w:overflowPunct/>
              <w:topLinePunct w:val="0"/>
              <w:autoSpaceDE w:val="0"/>
              <w:autoSpaceDN w:val="0"/>
              <w:bidi w:val="0"/>
              <w:adjustRightInd w:val="0"/>
              <w:snapToGrid w:val="0"/>
              <w:spacing w:line="360" w:lineRule="auto"/>
              <w:ind w:right="-154" w:firstLine="480" w:firstLineChars="200"/>
              <w:jc w:val="both"/>
              <w:textAlignment w:val="bottom"/>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电话：</w:t>
            </w:r>
          </w:p>
          <w:p w14:paraId="02A61369">
            <w:pPr>
              <w:keepNext w:val="0"/>
              <w:keepLines w:val="0"/>
              <w:pageBreakBefore w:val="0"/>
              <w:widowControl/>
              <w:kinsoku/>
              <w:overflowPunct/>
              <w:topLinePunct w:val="0"/>
              <w:autoSpaceDE w:val="0"/>
              <w:autoSpaceDN w:val="0"/>
              <w:bidi w:val="0"/>
              <w:adjustRightInd w:val="0"/>
              <w:snapToGrid w:val="0"/>
              <w:spacing w:line="360" w:lineRule="auto"/>
              <w:ind w:right="-154" w:firstLine="480" w:firstLineChars="200"/>
              <w:jc w:val="both"/>
              <w:textAlignment w:val="bottom"/>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开户银行：</w:t>
            </w:r>
          </w:p>
          <w:p w14:paraId="25E0362E">
            <w:pPr>
              <w:keepNext w:val="0"/>
              <w:keepLines w:val="0"/>
              <w:pageBreakBefore w:val="0"/>
              <w:widowControl/>
              <w:kinsoku/>
              <w:overflowPunct/>
              <w:topLinePunct w:val="0"/>
              <w:autoSpaceDE w:val="0"/>
              <w:autoSpaceDN w:val="0"/>
              <w:bidi w:val="0"/>
              <w:adjustRightInd w:val="0"/>
              <w:snapToGrid w:val="0"/>
              <w:spacing w:line="360" w:lineRule="auto"/>
              <w:ind w:right="-154" w:firstLine="480" w:firstLineChars="200"/>
              <w:jc w:val="both"/>
              <w:textAlignment w:val="bottom"/>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账号：</w:t>
            </w:r>
          </w:p>
        </w:tc>
      </w:tr>
      <w:tr w14:paraId="062653BD">
        <w:tblPrEx>
          <w:tblCellMar>
            <w:top w:w="0" w:type="dxa"/>
            <w:left w:w="108" w:type="dxa"/>
            <w:bottom w:w="0" w:type="dxa"/>
            <w:right w:w="108" w:type="dxa"/>
          </w:tblCellMar>
        </w:tblPrEx>
        <w:trPr>
          <w:trHeight w:val="701" w:hRule="atLeast"/>
          <w:jc w:val="center"/>
        </w:trPr>
        <w:tc>
          <w:tcPr>
            <w:tcW w:w="4770" w:type="dxa"/>
            <w:noWrap w:val="0"/>
            <w:vAlign w:val="top"/>
          </w:tcPr>
          <w:p w14:paraId="3F00F6E1">
            <w:pPr>
              <w:keepNext w:val="0"/>
              <w:keepLines w:val="0"/>
              <w:pageBreakBefore w:val="0"/>
              <w:widowControl/>
              <w:kinsoku/>
              <w:overflowPunct/>
              <w:topLinePunct w:val="0"/>
              <w:autoSpaceDE w:val="0"/>
              <w:autoSpaceDN w:val="0"/>
              <w:bidi w:val="0"/>
              <w:adjustRightInd w:val="0"/>
              <w:snapToGrid w:val="0"/>
              <w:spacing w:line="360" w:lineRule="auto"/>
              <w:ind w:right="-154" w:firstLine="480" w:firstLineChars="200"/>
              <w:jc w:val="both"/>
              <w:textAlignment w:val="bottom"/>
              <w:rPr>
                <w:rFonts w:hint="eastAsia" w:ascii="宋体" w:hAnsi="宋体" w:eastAsia="宋体" w:cs="宋体"/>
                <w:color w:val="000000"/>
                <w:kern w:val="0"/>
                <w:sz w:val="24"/>
                <w:szCs w:val="24"/>
                <w:highlight w:val="none"/>
              </w:rPr>
            </w:pPr>
            <w:r>
              <w:rPr>
                <w:rFonts w:hint="eastAsia" w:ascii="宋体" w:hAnsi="宋体" w:eastAsia="宋体" w:cs="宋体"/>
                <w:color w:val="000000"/>
                <w:sz w:val="24"/>
                <w:szCs w:val="24"/>
                <w:highlight w:val="none"/>
              </w:rPr>
              <w:t>鉴证方</w:t>
            </w:r>
            <w:r>
              <w:rPr>
                <w:rFonts w:hint="eastAsia" w:ascii="宋体" w:hAnsi="宋体" w:eastAsia="宋体" w:cs="宋体"/>
                <w:color w:val="000000"/>
                <w:spacing w:val="-20"/>
                <w:kern w:val="0"/>
                <w:sz w:val="24"/>
                <w:szCs w:val="24"/>
                <w:highlight w:val="none"/>
              </w:rPr>
              <w:t>（盖章）</w:t>
            </w:r>
            <w:r>
              <w:rPr>
                <w:rFonts w:hint="eastAsia" w:ascii="宋体" w:hAnsi="宋体" w:eastAsia="宋体" w:cs="宋体"/>
                <w:color w:val="000000"/>
                <w:sz w:val="24"/>
                <w:szCs w:val="24"/>
                <w:highlight w:val="none"/>
              </w:rPr>
              <w:t>：</w:t>
            </w:r>
          </w:p>
        </w:tc>
        <w:tc>
          <w:tcPr>
            <w:tcW w:w="4770" w:type="dxa"/>
            <w:noWrap w:val="0"/>
            <w:vAlign w:val="top"/>
          </w:tcPr>
          <w:p w14:paraId="0E6608EA">
            <w:pPr>
              <w:keepNext w:val="0"/>
              <w:keepLines w:val="0"/>
              <w:pageBreakBefore w:val="0"/>
              <w:widowControl/>
              <w:kinsoku/>
              <w:overflowPunct/>
              <w:topLinePunct w:val="0"/>
              <w:autoSpaceDE w:val="0"/>
              <w:autoSpaceDN w:val="0"/>
              <w:bidi w:val="0"/>
              <w:adjustRightInd w:val="0"/>
              <w:snapToGrid w:val="0"/>
              <w:spacing w:line="360" w:lineRule="auto"/>
              <w:ind w:right="-154" w:firstLine="480" w:firstLineChars="200"/>
              <w:jc w:val="both"/>
              <w:textAlignment w:val="bottom"/>
              <w:rPr>
                <w:rFonts w:hint="eastAsia" w:ascii="宋体" w:hAnsi="宋体" w:eastAsia="宋体" w:cs="宋体"/>
                <w:color w:val="000000"/>
                <w:kern w:val="0"/>
                <w:sz w:val="24"/>
                <w:szCs w:val="24"/>
                <w:highlight w:val="none"/>
              </w:rPr>
            </w:pPr>
          </w:p>
        </w:tc>
      </w:tr>
      <w:tr w14:paraId="40364F0D">
        <w:tblPrEx>
          <w:tblCellMar>
            <w:top w:w="0" w:type="dxa"/>
            <w:left w:w="108" w:type="dxa"/>
            <w:bottom w:w="0" w:type="dxa"/>
            <w:right w:w="108" w:type="dxa"/>
          </w:tblCellMar>
        </w:tblPrEx>
        <w:trPr>
          <w:trHeight w:val="701" w:hRule="atLeast"/>
          <w:jc w:val="center"/>
        </w:trPr>
        <w:tc>
          <w:tcPr>
            <w:tcW w:w="4770" w:type="dxa"/>
            <w:noWrap w:val="0"/>
            <w:vAlign w:val="top"/>
          </w:tcPr>
          <w:p w14:paraId="5640F772">
            <w:pPr>
              <w:keepNext w:val="0"/>
              <w:keepLines w:val="0"/>
              <w:pageBreakBefore w:val="0"/>
              <w:widowControl/>
              <w:kinsoku/>
              <w:overflowPunct/>
              <w:topLinePunct w:val="0"/>
              <w:autoSpaceDE w:val="0"/>
              <w:autoSpaceDN w:val="0"/>
              <w:bidi w:val="0"/>
              <w:adjustRightInd w:val="0"/>
              <w:snapToGrid w:val="0"/>
              <w:spacing w:line="360" w:lineRule="auto"/>
              <w:ind w:right="-154" w:firstLine="480" w:firstLineChars="200"/>
              <w:jc w:val="both"/>
              <w:textAlignment w:val="bottom"/>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地址：</w:t>
            </w:r>
          </w:p>
        </w:tc>
        <w:tc>
          <w:tcPr>
            <w:tcW w:w="4770" w:type="dxa"/>
            <w:noWrap w:val="0"/>
            <w:vAlign w:val="top"/>
          </w:tcPr>
          <w:p w14:paraId="7FFB0DF6">
            <w:pPr>
              <w:keepNext w:val="0"/>
              <w:keepLines w:val="0"/>
              <w:pageBreakBefore w:val="0"/>
              <w:widowControl/>
              <w:kinsoku/>
              <w:overflowPunct/>
              <w:topLinePunct w:val="0"/>
              <w:autoSpaceDE w:val="0"/>
              <w:autoSpaceDN w:val="0"/>
              <w:bidi w:val="0"/>
              <w:adjustRightInd w:val="0"/>
              <w:snapToGrid w:val="0"/>
              <w:spacing w:line="360" w:lineRule="auto"/>
              <w:ind w:right="-154" w:firstLine="480" w:firstLineChars="200"/>
              <w:jc w:val="both"/>
              <w:textAlignment w:val="bottom"/>
              <w:rPr>
                <w:rFonts w:hint="eastAsia" w:ascii="宋体" w:hAnsi="宋体" w:eastAsia="宋体" w:cs="宋体"/>
                <w:color w:val="000000"/>
                <w:kern w:val="0"/>
                <w:sz w:val="24"/>
                <w:szCs w:val="24"/>
                <w:highlight w:val="none"/>
              </w:rPr>
            </w:pPr>
          </w:p>
        </w:tc>
      </w:tr>
      <w:tr w14:paraId="582577F2">
        <w:tblPrEx>
          <w:tblCellMar>
            <w:top w:w="0" w:type="dxa"/>
            <w:left w:w="108" w:type="dxa"/>
            <w:bottom w:w="0" w:type="dxa"/>
            <w:right w:w="108" w:type="dxa"/>
          </w:tblCellMar>
        </w:tblPrEx>
        <w:trPr>
          <w:trHeight w:val="701" w:hRule="atLeast"/>
          <w:jc w:val="center"/>
        </w:trPr>
        <w:tc>
          <w:tcPr>
            <w:tcW w:w="4770" w:type="dxa"/>
            <w:noWrap w:val="0"/>
            <w:vAlign w:val="top"/>
          </w:tcPr>
          <w:p w14:paraId="056327E8">
            <w:pPr>
              <w:keepNext w:val="0"/>
              <w:keepLines w:val="0"/>
              <w:pageBreakBefore w:val="0"/>
              <w:widowControl/>
              <w:kinsoku/>
              <w:overflowPunct/>
              <w:topLinePunct w:val="0"/>
              <w:autoSpaceDE w:val="0"/>
              <w:autoSpaceDN w:val="0"/>
              <w:bidi w:val="0"/>
              <w:adjustRightInd w:val="0"/>
              <w:snapToGrid w:val="0"/>
              <w:spacing w:line="360" w:lineRule="auto"/>
              <w:ind w:right="-154" w:firstLine="480" w:firstLineChars="200"/>
              <w:jc w:val="both"/>
              <w:textAlignment w:val="bottom"/>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法定代表人/授权代理人（签字或盖章）：</w:t>
            </w:r>
          </w:p>
        </w:tc>
        <w:tc>
          <w:tcPr>
            <w:tcW w:w="4770" w:type="dxa"/>
            <w:noWrap w:val="0"/>
            <w:vAlign w:val="top"/>
          </w:tcPr>
          <w:p w14:paraId="786F4A0E">
            <w:pPr>
              <w:keepNext w:val="0"/>
              <w:keepLines w:val="0"/>
              <w:pageBreakBefore w:val="0"/>
              <w:widowControl/>
              <w:kinsoku/>
              <w:overflowPunct/>
              <w:topLinePunct w:val="0"/>
              <w:autoSpaceDE w:val="0"/>
              <w:autoSpaceDN w:val="0"/>
              <w:bidi w:val="0"/>
              <w:adjustRightInd w:val="0"/>
              <w:snapToGrid w:val="0"/>
              <w:spacing w:line="360" w:lineRule="auto"/>
              <w:ind w:right="-154" w:firstLine="480" w:firstLineChars="200"/>
              <w:jc w:val="both"/>
              <w:textAlignment w:val="bottom"/>
              <w:rPr>
                <w:rFonts w:hint="eastAsia" w:ascii="宋体" w:hAnsi="宋体" w:eastAsia="宋体" w:cs="宋体"/>
                <w:color w:val="000000"/>
                <w:kern w:val="0"/>
                <w:sz w:val="24"/>
                <w:szCs w:val="24"/>
                <w:highlight w:val="none"/>
              </w:rPr>
            </w:pPr>
          </w:p>
        </w:tc>
      </w:tr>
      <w:tr w14:paraId="21D86B5C">
        <w:tblPrEx>
          <w:tblCellMar>
            <w:top w:w="0" w:type="dxa"/>
            <w:left w:w="108" w:type="dxa"/>
            <w:bottom w:w="0" w:type="dxa"/>
            <w:right w:w="108" w:type="dxa"/>
          </w:tblCellMar>
        </w:tblPrEx>
        <w:trPr>
          <w:trHeight w:val="701" w:hRule="atLeast"/>
          <w:jc w:val="center"/>
        </w:trPr>
        <w:tc>
          <w:tcPr>
            <w:tcW w:w="4770" w:type="dxa"/>
            <w:noWrap w:val="0"/>
            <w:vAlign w:val="top"/>
          </w:tcPr>
          <w:p w14:paraId="053F67CC">
            <w:pPr>
              <w:keepNext w:val="0"/>
              <w:keepLines w:val="0"/>
              <w:pageBreakBefore w:val="0"/>
              <w:widowControl/>
              <w:kinsoku/>
              <w:overflowPunct/>
              <w:topLinePunct w:val="0"/>
              <w:autoSpaceDE w:val="0"/>
              <w:autoSpaceDN w:val="0"/>
              <w:bidi w:val="0"/>
              <w:adjustRightInd w:val="0"/>
              <w:snapToGrid w:val="0"/>
              <w:spacing w:line="360" w:lineRule="auto"/>
              <w:ind w:right="-154" w:firstLine="480" w:firstLineChars="200"/>
              <w:jc w:val="both"/>
              <w:textAlignment w:val="bottom"/>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电话：</w:t>
            </w:r>
          </w:p>
        </w:tc>
        <w:tc>
          <w:tcPr>
            <w:tcW w:w="4770" w:type="dxa"/>
            <w:noWrap w:val="0"/>
            <w:vAlign w:val="top"/>
          </w:tcPr>
          <w:p w14:paraId="228B155A">
            <w:pPr>
              <w:keepNext w:val="0"/>
              <w:keepLines w:val="0"/>
              <w:pageBreakBefore w:val="0"/>
              <w:widowControl/>
              <w:kinsoku/>
              <w:overflowPunct/>
              <w:topLinePunct w:val="0"/>
              <w:autoSpaceDE w:val="0"/>
              <w:autoSpaceDN w:val="0"/>
              <w:bidi w:val="0"/>
              <w:adjustRightInd w:val="0"/>
              <w:snapToGrid w:val="0"/>
              <w:spacing w:line="360" w:lineRule="auto"/>
              <w:ind w:right="-154" w:firstLine="480" w:firstLineChars="200"/>
              <w:jc w:val="both"/>
              <w:textAlignment w:val="bottom"/>
              <w:rPr>
                <w:rFonts w:hint="eastAsia" w:ascii="宋体" w:hAnsi="宋体" w:eastAsia="宋体" w:cs="宋体"/>
                <w:color w:val="000000"/>
                <w:kern w:val="0"/>
                <w:sz w:val="24"/>
                <w:szCs w:val="24"/>
                <w:highlight w:val="none"/>
              </w:rPr>
            </w:pPr>
          </w:p>
        </w:tc>
      </w:tr>
      <w:tr w14:paraId="6620CE07">
        <w:tblPrEx>
          <w:tblCellMar>
            <w:top w:w="0" w:type="dxa"/>
            <w:left w:w="108" w:type="dxa"/>
            <w:bottom w:w="0" w:type="dxa"/>
            <w:right w:w="108" w:type="dxa"/>
          </w:tblCellMar>
        </w:tblPrEx>
        <w:trPr>
          <w:trHeight w:val="701" w:hRule="atLeast"/>
          <w:jc w:val="center"/>
        </w:trPr>
        <w:tc>
          <w:tcPr>
            <w:tcW w:w="4770" w:type="dxa"/>
            <w:noWrap w:val="0"/>
            <w:vAlign w:val="top"/>
          </w:tcPr>
          <w:p w14:paraId="3FF815F3">
            <w:pPr>
              <w:keepNext w:val="0"/>
              <w:keepLines w:val="0"/>
              <w:pageBreakBefore w:val="0"/>
              <w:widowControl/>
              <w:kinsoku/>
              <w:overflowPunct/>
              <w:topLinePunct w:val="0"/>
              <w:autoSpaceDE w:val="0"/>
              <w:autoSpaceDN w:val="0"/>
              <w:bidi w:val="0"/>
              <w:adjustRightInd w:val="0"/>
              <w:snapToGrid w:val="0"/>
              <w:spacing w:line="360" w:lineRule="auto"/>
              <w:ind w:right="-154" w:firstLine="480" w:firstLineChars="200"/>
              <w:jc w:val="both"/>
              <w:textAlignment w:val="bottom"/>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开户银行：</w:t>
            </w:r>
          </w:p>
        </w:tc>
        <w:tc>
          <w:tcPr>
            <w:tcW w:w="4770" w:type="dxa"/>
            <w:noWrap w:val="0"/>
            <w:vAlign w:val="top"/>
          </w:tcPr>
          <w:p w14:paraId="31FE9379">
            <w:pPr>
              <w:keepNext w:val="0"/>
              <w:keepLines w:val="0"/>
              <w:pageBreakBefore w:val="0"/>
              <w:widowControl/>
              <w:kinsoku/>
              <w:overflowPunct/>
              <w:topLinePunct w:val="0"/>
              <w:autoSpaceDE w:val="0"/>
              <w:autoSpaceDN w:val="0"/>
              <w:bidi w:val="0"/>
              <w:adjustRightInd w:val="0"/>
              <w:snapToGrid w:val="0"/>
              <w:spacing w:line="360" w:lineRule="auto"/>
              <w:ind w:right="-154" w:firstLine="480" w:firstLineChars="200"/>
              <w:jc w:val="both"/>
              <w:textAlignment w:val="bottom"/>
              <w:rPr>
                <w:rFonts w:hint="eastAsia" w:ascii="宋体" w:hAnsi="宋体" w:eastAsia="宋体" w:cs="宋体"/>
                <w:color w:val="000000"/>
                <w:kern w:val="0"/>
                <w:sz w:val="24"/>
                <w:szCs w:val="24"/>
                <w:highlight w:val="none"/>
              </w:rPr>
            </w:pPr>
          </w:p>
        </w:tc>
      </w:tr>
    </w:tbl>
    <w:p w14:paraId="316021EC">
      <w:pPr>
        <w:keepNext w:val="0"/>
        <w:keepLines w:val="0"/>
        <w:pageBreakBefore w:val="0"/>
        <w:kinsoku/>
        <w:wordWrap/>
        <w:overflowPunct/>
        <w:topLinePunct w:val="0"/>
        <w:autoSpaceDE/>
        <w:autoSpaceDN/>
        <w:bidi w:val="0"/>
        <w:adjustRightInd w:val="0"/>
        <w:snapToGrid w:val="0"/>
        <w:spacing w:line="360" w:lineRule="auto"/>
        <w:ind w:left="0" w:leftChars="0" w:right="0" w:rightChars="0" w:firstLine="480" w:firstLineChars="200"/>
        <w:jc w:val="both"/>
        <w:textAlignment w:val="auto"/>
        <w:outlineLvl w:val="9"/>
        <w:rPr>
          <w:rFonts w:hint="eastAsia" w:ascii="宋体" w:hAnsi="宋体" w:eastAsia="宋体" w:cs="宋体"/>
          <w:color w:val="auto"/>
          <w:sz w:val="24"/>
          <w:szCs w:val="24"/>
          <w:highlight w:val="none"/>
        </w:rPr>
      </w:pPr>
      <w:r>
        <w:rPr>
          <w:rFonts w:hint="eastAsia" w:ascii="宋体" w:hAnsi="宋体" w:eastAsia="宋体" w:cs="宋体"/>
          <w:sz w:val="24"/>
          <w:szCs w:val="24"/>
          <w:highlight w:val="none"/>
        </w:rPr>
        <w:br w:type="page"/>
      </w:r>
      <w:r>
        <w:rPr>
          <w:rFonts w:hint="eastAsia" w:ascii="宋体" w:hAnsi="宋体" w:eastAsia="宋体" w:cs="宋体"/>
          <w:b/>
          <w:bCs/>
          <w:sz w:val="24"/>
          <w:szCs w:val="24"/>
          <w:highlight w:val="none"/>
          <w:lang w:val="en-US" w:eastAsia="zh-CN"/>
        </w:rPr>
        <w:t xml:space="preserve">附件：            </w:t>
      </w:r>
      <w:r>
        <w:rPr>
          <w:rFonts w:hint="eastAsia" w:ascii="宋体" w:hAnsi="宋体" w:eastAsia="宋体" w:cs="宋体"/>
          <w:b/>
          <w:bCs/>
          <w:color w:val="auto"/>
          <w:sz w:val="24"/>
          <w:szCs w:val="24"/>
          <w:highlight w:val="none"/>
        </w:rPr>
        <w:t>消防设施设备维保考核办法</w:t>
      </w:r>
    </w:p>
    <w:p w14:paraId="32FAE1F8">
      <w:pPr>
        <w:pStyle w:val="9"/>
        <w:keepNext w:val="0"/>
        <w:keepLines w:val="0"/>
        <w:pageBreakBefore w:val="0"/>
        <w:widowControl/>
        <w:kinsoku/>
        <w:wordWrap/>
        <w:overflowPunct/>
        <w:topLinePunct w:val="0"/>
        <w:autoSpaceDE/>
        <w:autoSpaceDN/>
        <w:bidi w:val="0"/>
        <w:adjustRightInd w:val="0"/>
        <w:snapToGrid w:val="0"/>
        <w:spacing w:before="0" w:beforeAutospacing="0" w:after="0" w:afterAutospacing="0" w:line="360" w:lineRule="auto"/>
        <w:ind w:left="0" w:leftChars="0" w:right="0" w:rightChars="0" w:firstLine="482" w:firstLineChars="200"/>
        <w:jc w:val="both"/>
        <w:textAlignment w:val="auto"/>
        <w:outlineLvl w:val="9"/>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lang w:eastAsia="zh-CN"/>
        </w:rPr>
        <w:t>（一）</w:t>
      </w:r>
      <w:r>
        <w:rPr>
          <w:rFonts w:hint="eastAsia" w:ascii="宋体" w:hAnsi="宋体" w:eastAsia="宋体" w:cs="宋体"/>
          <w:b/>
          <w:bCs/>
          <w:color w:val="auto"/>
          <w:sz w:val="24"/>
          <w:szCs w:val="24"/>
          <w:highlight w:val="none"/>
        </w:rPr>
        <w:t>考核内容</w:t>
      </w:r>
    </w:p>
    <w:p w14:paraId="121C7B5D">
      <w:pPr>
        <w:pStyle w:val="9"/>
        <w:keepNext w:val="0"/>
        <w:keepLines w:val="0"/>
        <w:pageBreakBefore w:val="0"/>
        <w:widowControl/>
        <w:kinsoku/>
        <w:wordWrap/>
        <w:overflowPunct/>
        <w:topLinePunct w:val="0"/>
        <w:autoSpaceDE/>
        <w:autoSpaceDN/>
        <w:bidi w:val="0"/>
        <w:adjustRightInd w:val="0"/>
        <w:snapToGrid w:val="0"/>
        <w:spacing w:before="0" w:beforeAutospacing="0" w:after="0" w:afterAutospacing="0" w:line="360" w:lineRule="auto"/>
        <w:ind w:left="0" w:leftChars="0" w:right="0" w:rightChars="0" w:firstLine="480" w:firstLineChars="200"/>
        <w:jc w:val="both"/>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1、维护保养企业对项目实施维护保养的总体计划、季度计划、月计划制定、上报落实情况。</w:t>
      </w:r>
    </w:p>
    <w:p w14:paraId="140F8D30">
      <w:pPr>
        <w:pStyle w:val="9"/>
        <w:keepNext w:val="0"/>
        <w:keepLines w:val="0"/>
        <w:pageBreakBefore w:val="0"/>
        <w:widowControl/>
        <w:kinsoku/>
        <w:wordWrap/>
        <w:overflowPunct/>
        <w:topLinePunct w:val="0"/>
        <w:autoSpaceDE/>
        <w:autoSpaceDN/>
        <w:bidi w:val="0"/>
        <w:adjustRightInd w:val="0"/>
        <w:snapToGrid w:val="0"/>
        <w:spacing w:before="0" w:beforeAutospacing="0" w:after="0" w:afterAutospacing="0" w:line="360" w:lineRule="auto"/>
        <w:ind w:left="0" w:leftChars="0" w:right="0" w:rightChars="0" w:firstLine="480" w:firstLineChars="200"/>
        <w:jc w:val="both"/>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2、日常故障处理情况由维保单位上报保卫处登记，记录形成《消防系统维保情况记录表》。</w:t>
      </w:r>
    </w:p>
    <w:p w14:paraId="2BCA8133">
      <w:pPr>
        <w:pStyle w:val="9"/>
        <w:keepNext w:val="0"/>
        <w:keepLines w:val="0"/>
        <w:pageBreakBefore w:val="0"/>
        <w:widowControl/>
        <w:kinsoku/>
        <w:wordWrap/>
        <w:overflowPunct/>
        <w:topLinePunct w:val="0"/>
        <w:autoSpaceDE/>
        <w:autoSpaceDN/>
        <w:bidi w:val="0"/>
        <w:adjustRightInd w:val="0"/>
        <w:snapToGrid w:val="0"/>
        <w:spacing w:before="0" w:beforeAutospacing="0" w:after="0" w:afterAutospacing="0" w:line="360" w:lineRule="auto"/>
        <w:ind w:left="0" w:leftChars="0" w:right="0" w:rightChars="0" w:firstLine="480" w:firstLineChars="200"/>
        <w:jc w:val="both"/>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3、每月进行消防系统维保抽查。抽查情况登记在《消防系统维保季度抽查情况表》。</w:t>
      </w:r>
    </w:p>
    <w:p w14:paraId="460D50FD">
      <w:pPr>
        <w:pStyle w:val="9"/>
        <w:keepNext w:val="0"/>
        <w:keepLines w:val="0"/>
        <w:pageBreakBefore w:val="0"/>
        <w:widowControl/>
        <w:kinsoku/>
        <w:wordWrap/>
        <w:overflowPunct/>
        <w:topLinePunct w:val="0"/>
        <w:autoSpaceDE/>
        <w:autoSpaceDN/>
        <w:bidi w:val="0"/>
        <w:adjustRightInd w:val="0"/>
        <w:snapToGrid w:val="0"/>
        <w:spacing w:before="0" w:beforeAutospacing="0" w:after="0" w:afterAutospacing="0" w:line="360" w:lineRule="auto"/>
        <w:ind w:left="0" w:leftChars="0" w:right="0" w:rightChars="0" w:firstLine="480" w:firstLineChars="200"/>
        <w:jc w:val="both"/>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4、服务质量和服务态度及完成任务情况。</w:t>
      </w:r>
    </w:p>
    <w:p w14:paraId="244508A7">
      <w:pPr>
        <w:pStyle w:val="9"/>
        <w:keepNext w:val="0"/>
        <w:keepLines w:val="0"/>
        <w:pageBreakBefore w:val="0"/>
        <w:widowControl/>
        <w:kinsoku/>
        <w:wordWrap/>
        <w:overflowPunct/>
        <w:topLinePunct w:val="0"/>
        <w:autoSpaceDE/>
        <w:autoSpaceDN/>
        <w:bidi w:val="0"/>
        <w:adjustRightInd w:val="0"/>
        <w:snapToGrid w:val="0"/>
        <w:spacing w:before="0" w:beforeAutospacing="0" w:after="0" w:afterAutospacing="0" w:line="360" w:lineRule="auto"/>
        <w:ind w:left="0" w:leftChars="0" w:right="0" w:rightChars="0" w:firstLine="480" w:firstLineChars="200"/>
        <w:jc w:val="both"/>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5、月度抽查时间为该维保月内，由保卫处不定期组织。</w:t>
      </w:r>
    </w:p>
    <w:p w14:paraId="26F774A2">
      <w:pPr>
        <w:pStyle w:val="9"/>
        <w:keepNext w:val="0"/>
        <w:keepLines w:val="0"/>
        <w:pageBreakBefore w:val="0"/>
        <w:widowControl/>
        <w:kinsoku/>
        <w:wordWrap/>
        <w:overflowPunct/>
        <w:topLinePunct w:val="0"/>
        <w:autoSpaceDE/>
        <w:autoSpaceDN/>
        <w:bidi w:val="0"/>
        <w:adjustRightInd w:val="0"/>
        <w:snapToGrid w:val="0"/>
        <w:spacing w:before="0" w:beforeAutospacing="0" w:after="0" w:afterAutospacing="0" w:line="360" w:lineRule="auto"/>
        <w:ind w:left="0" w:leftChars="0" w:right="0" w:rightChars="0" w:firstLine="480" w:firstLineChars="200"/>
        <w:jc w:val="both"/>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6、考核采取百分制，满分为 100 分。依据《消防系统维保情况记录表》、《消防系统维保季度抽查情况表》，对不满足要求的进行逐项扣分，计划执行情况、文档资料归集、安全维保情况由安保管理人员检查反馈，未按要求执行到位的，逐项扣分。</w:t>
      </w:r>
    </w:p>
    <w:p w14:paraId="7E1165FC">
      <w:pPr>
        <w:pStyle w:val="9"/>
        <w:keepNext w:val="0"/>
        <w:keepLines w:val="0"/>
        <w:pageBreakBefore w:val="0"/>
        <w:widowControl/>
        <w:kinsoku/>
        <w:wordWrap/>
        <w:overflowPunct/>
        <w:topLinePunct w:val="0"/>
        <w:autoSpaceDE/>
        <w:autoSpaceDN/>
        <w:bidi w:val="0"/>
        <w:adjustRightInd w:val="0"/>
        <w:snapToGrid w:val="0"/>
        <w:spacing w:before="0" w:beforeAutospacing="0" w:after="0" w:afterAutospacing="0" w:line="360" w:lineRule="auto"/>
        <w:ind w:left="0" w:leftChars="0" w:right="0" w:rightChars="0" w:firstLine="480" w:firstLineChars="200"/>
        <w:jc w:val="both"/>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7、考核、检查发现的问题，情节较轻的按照《消防设施设备维保考核办法》扣分，情节较重的按照《消防维保合同》的违约条款执行。</w:t>
      </w:r>
    </w:p>
    <w:p w14:paraId="17BF91EB">
      <w:pPr>
        <w:pStyle w:val="9"/>
        <w:keepNext w:val="0"/>
        <w:keepLines w:val="0"/>
        <w:pageBreakBefore w:val="0"/>
        <w:widowControl/>
        <w:kinsoku/>
        <w:wordWrap/>
        <w:overflowPunct/>
        <w:topLinePunct w:val="0"/>
        <w:autoSpaceDE/>
        <w:autoSpaceDN/>
        <w:bidi w:val="0"/>
        <w:adjustRightInd w:val="0"/>
        <w:snapToGrid w:val="0"/>
        <w:spacing w:before="0" w:beforeAutospacing="0" w:after="0" w:afterAutospacing="0" w:line="360" w:lineRule="auto"/>
        <w:ind w:left="0" w:leftChars="0" w:right="0" w:rightChars="0" w:firstLine="482" w:firstLineChars="200"/>
        <w:jc w:val="both"/>
        <w:textAlignment w:val="auto"/>
        <w:outlineLvl w:val="9"/>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sz w:val="24"/>
          <w:szCs w:val="24"/>
          <w:highlight w:val="none"/>
          <w:lang w:val="en-US" w:eastAsia="zh-CN"/>
        </w:rPr>
        <w:t>（二）考核细则</w:t>
      </w:r>
    </w:p>
    <w:p w14:paraId="18999872">
      <w:pPr>
        <w:pStyle w:val="9"/>
        <w:keepNext w:val="0"/>
        <w:keepLines w:val="0"/>
        <w:pageBreakBefore w:val="0"/>
        <w:widowControl/>
        <w:kinsoku/>
        <w:wordWrap/>
        <w:overflowPunct/>
        <w:topLinePunct w:val="0"/>
        <w:autoSpaceDE/>
        <w:autoSpaceDN/>
        <w:bidi w:val="0"/>
        <w:adjustRightInd w:val="0"/>
        <w:snapToGrid w:val="0"/>
        <w:spacing w:before="0" w:beforeAutospacing="0" w:after="0" w:afterAutospacing="0" w:line="360" w:lineRule="auto"/>
        <w:ind w:left="0" w:leftChars="0" w:right="0" w:rightChars="0" w:firstLine="480" w:firstLineChars="200"/>
        <w:jc w:val="both"/>
        <w:textAlignment w:val="auto"/>
        <w:outlineLvl w:val="9"/>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1、依照合同，维保公司必须配齐专业维保人员，持证上岗，严格执行巡查制度。一项不落实者扣5分。</w:t>
      </w:r>
    </w:p>
    <w:p w14:paraId="3010BE73">
      <w:pPr>
        <w:pStyle w:val="9"/>
        <w:keepNext w:val="0"/>
        <w:keepLines w:val="0"/>
        <w:pageBreakBefore w:val="0"/>
        <w:widowControl/>
        <w:kinsoku/>
        <w:wordWrap/>
        <w:overflowPunct/>
        <w:topLinePunct w:val="0"/>
        <w:autoSpaceDE/>
        <w:autoSpaceDN/>
        <w:bidi w:val="0"/>
        <w:adjustRightInd w:val="0"/>
        <w:snapToGrid w:val="0"/>
        <w:spacing w:before="0" w:beforeAutospacing="0" w:after="0" w:afterAutospacing="0" w:line="360" w:lineRule="auto"/>
        <w:ind w:left="0" w:leftChars="0" w:right="0" w:rightChars="0" w:firstLine="480" w:firstLineChars="200"/>
        <w:jc w:val="both"/>
        <w:textAlignment w:val="auto"/>
        <w:outlineLvl w:val="9"/>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2、维保人员必须严格遵守各项法律法规；服从管理和工作安排；按要求完成相关任务。不服从管理、不履行职责、工作推诿或不按要求完成相关工作任务者，一项扣1-5分。服务态度恶劣的，一次扣10分，情况严重或造成严重后果者，甲方可单方面解除合同。</w:t>
      </w:r>
    </w:p>
    <w:p w14:paraId="3C9A111B">
      <w:pPr>
        <w:pStyle w:val="9"/>
        <w:keepNext w:val="0"/>
        <w:keepLines w:val="0"/>
        <w:pageBreakBefore w:val="0"/>
        <w:widowControl/>
        <w:kinsoku/>
        <w:wordWrap/>
        <w:overflowPunct/>
        <w:topLinePunct w:val="0"/>
        <w:autoSpaceDE/>
        <w:autoSpaceDN/>
        <w:bidi w:val="0"/>
        <w:adjustRightInd w:val="0"/>
        <w:snapToGrid w:val="0"/>
        <w:spacing w:before="0" w:beforeAutospacing="0" w:after="0" w:afterAutospacing="0" w:line="360" w:lineRule="auto"/>
        <w:ind w:left="0" w:leftChars="0" w:right="0" w:rightChars="0" w:firstLine="480" w:firstLineChars="200"/>
        <w:jc w:val="both"/>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kern w:val="2"/>
          <w:sz w:val="24"/>
          <w:szCs w:val="24"/>
          <w:highlight w:val="none"/>
          <w:lang w:val="en-US" w:eastAsia="zh-CN" w:bidi="ar-SA"/>
        </w:rPr>
        <w:t>3、</w:t>
      </w:r>
      <w:r>
        <w:rPr>
          <w:rFonts w:hint="eastAsia" w:ascii="宋体" w:hAnsi="宋体" w:eastAsia="宋体" w:cs="宋体"/>
          <w:color w:val="auto"/>
          <w:sz w:val="24"/>
          <w:szCs w:val="24"/>
          <w:highlight w:val="none"/>
          <w:lang w:val="en-US" w:eastAsia="zh-CN"/>
        </w:rPr>
        <w:t>维保单位应及时在</w:t>
      </w:r>
      <w:r>
        <w:rPr>
          <w:rFonts w:hint="eastAsia" w:ascii="宋体" w:hAnsi="宋体" w:eastAsia="宋体" w:cs="宋体"/>
          <w:color w:val="auto"/>
          <w:sz w:val="24"/>
          <w:szCs w:val="24"/>
          <w:highlight w:val="none"/>
        </w:rPr>
        <w:t>“社会消防技术服务信息系统”及“陕西省消防技术服务全过程监管系统”备案</w:t>
      </w:r>
      <w:r>
        <w:rPr>
          <w:rFonts w:hint="eastAsia" w:ascii="宋体" w:hAnsi="宋体" w:eastAsia="宋体" w:cs="宋体"/>
          <w:color w:val="auto"/>
          <w:sz w:val="24"/>
          <w:szCs w:val="24"/>
          <w:highlight w:val="none"/>
          <w:lang w:eastAsia="zh-CN"/>
        </w:rPr>
        <w:t>，按要求及时上传相关信息</w:t>
      </w:r>
      <w:r>
        <w:rPr>
          <w:rFonts w:hint="eastAsia" w:ascii="宋体" w:hAnsi="宋体" w:eastAsia="宋体" w:cs="宋体"/>
          <w:color w:val="auto"/>
          <w:sz w:val="24"/>
          <w:szCs w:val="24"/>
          <w:highlight w:val="none"/>
        </w:rPr>
        <w:t>并严格按照要求执行</w:t>
      </w:r>
      <w:r>
        <w:rPr>
          <w:rFonts w:hint="eastAsia" w:ascii="宋体" w:hAnsi="宋体" w:eastAsia="宋体" w:cs="宋体"/>
          <w:color w:val="auto"/>
          <w:sz w:val="24"/>
          <w:szCs w:val="24"/>
          <w:highlight w:val="none"/>
          <w:lang w:eastAsia="zh-CN"/>
        </w:rPr>
        <w:t>，未按要求执行的扣</w:t>
      </w:r>
      <w:r>
        <w:rPr>
          <w:rFonts w:hint="eastAsia" w:ascii="宋体" w:hAnsi="宋体" w:eastAsia="宋体" w:cs="宋体"/>
          <w:color w:val="auto"/>
          <w:sz w:val="24"/>
          <w:szCs w:val="24"/>
          <w:highlight w:val="none"/>
          <w:lang w:val="en-US" w:eastAsia="zh-CN"/>
        </w:rPr>
        <w:t>5-10分</w:t>
      </w:r>
      <w:r>
        <w:rPr>
          <w:rFonts w:hint="eastAsia" w:ascii="宋体" w:hAnsi="宋体" w:eastAsia="宋体" w:cs="宋体"/>
          <w:color w:val="auto"/>
          <w:sz w:val="24"/>
          <w:szCs w:val="24"/>
          <w:highlight w:val="none"/>
        </w:rPr>
        <w:t>。</w:t>
      </w:r>
    </w:p>
    <w:p w14:paraId="7A106619">
      <w:pPr>
        <w:pStyle w:val="9"/>
        <w:keepNext w:val="0"/>
        <w:keepLines w:val="0"/>
        <w:pageBreakBefore w:val="0"/>
        <w:widowControl/>
        <w:kinsoku/>
        <w:wordWrap/>
        <w:overflowPunct/>
        <w:topLinePunct w:val="0"/>
        <w:autoSpaceDE/>
        <w:autoSpaceDN/>
        <w:bidi w:val="0"/>
        <w:adjustRightInd w:val="0"/>
        <w:snapToGrid w:val="0"/>
        <w:spacing w:before="0" w:beforeAutospacing="0" w:after="0" w:afterAutospacing="0" w:line="360" w:lineRule="auto"/>
        <w:ind w:left="0" w:leftChars="0" w:right="0" w:rightChars="0" w:firstLine="480" w:firstLineChars="200"/>
        <w:jc w:val="both"/>
        <w:textAlignment w:val="auto"/>
        <w:outlineLvl w:val="9"/>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4、维保单位应提供WEB端或APP端工具，帮助甲方实时了解单位火灾自动报警控制系统运行状态，同步显示报警信息；帮助甲方实时查看单位火警数量、消防隐患、消控室值班人员在岗情况；直观体现单位消防管理现状；掌握消防维保服务的服务过程，形成含有时间线的维保服务记录，能够通过提供的工具对维保服务的结果进行评价或打分。未按要求执行的扣5-10分，同时，甲方视情况可单方面解除合同。</w:t>
      </w:r>
    </w:p>
    <w:p w14:paraId="609385F3">
      <w:pPr>
        <w:pStyle w:val="9"/>
        <w:keepNext w:val="0"/>
        <w:keepLines w:val="0"/>
        <w:pageBreakBefore w:val="0"/>
        <w:widowControl/>
        <w:kinsoku/>
        <w:wordWrap/>
        <w:overflowPunct/>
        <w:topLinePunct w:val="0"/>
        <w:autoSpaceDE/>
        <w:autoSpaceDN/>
        <w:bidi w:val="0"/>
        <w:adjustRightInd w:val="0"/>
        <w:snapToGrid w:val="0"/>
        <w:spacing w:before="0" w:beforeAutospacing="0" w:after="0" w:afterAutospacing="0" w:line="360" w:lineRule="auto"/>
        <w:ind w:left="0" w:leftChars="0" w:right="0" w:rightChars="0" w:firstLine="480" w:firstLineChars="200"/>
        <w:jc w:val="both"/>
        <w:textAlignment w:val="auto"/>
        <w:outlineLvl w:val="9"/>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5、依据合同要求和行业规范要求制定月维保计划并报保卫处同意后实施，维保方必须严格按计划执行，并认真填写当月维保实施情况。因特殊情况当月无法进行维保的，需由保卫处确认。未制定计划的每次扣5分，未按计划实施维保和做好记录的每次扣3-5分。</w:t>
      </w:r>
    </w:p>
    <w:p w14:paraId="4872AE30">
      <w:pPr>
        <w:pStyle w:val="9"/>
        <w:keepNext w:val="0"/>
        <w:keepLines w:val="0"/>
        <w:pageBreakBefore w:val="0"/>
        <w:widowControl/>
        <w:kinsoku/>
        <w:wordWrap/>
        <w:overflowPunct/>
        <w:topLinePunct w:val="0"/>
        <w:autoSpaceDE/>
        <w:autoSpaceDN/>
        <w:bidi w:val="0"/>
        <w:adjustRightInd w:val="0"/>
        <w:snapToGrid w:val="0"/>
        <w:spacing w:before="0" w:beforeAutospacing="0" w:after="0" w:afterAutospacing="0" w:line="360" w:lineRule="auto"/>
        <w:ind w:left="0" w:leftChars="0" w:right="0" w:rightChars="0" w:firstLine="480" w:firstLineChars="200"/>
        <w:jc w:val="both"/>
        <w:textAlignment w:val="auto"/>
        <w:outlineLvl w:val="9"/>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6、每月 30日前（节假日顺延）将当月维保记录（含月计划完成情况、设备故障情况、故障原因、处理方法、处理结果、处理完成时间和维保人员等信息）、月维保报告（含消防系统的运行情况、维保建议等）移交给保卫处。未按照要求做好消防系统的维保记录、月维保报告的，每项每次扣1-5分，未按时间节点提交的，每次扣1-3 分。</w:t>
      </w:r>
    </w:p>
    <w:p w14:paraId="2926FD45">
      <w:pPr>
        <w:keepNext w:val="0"/>
        <w:keepLines w:val="0"/>
        <w:pageBreakBefore w:val="0"/>
        <w:kinsoku/>
        <w:wordWrap/>
        <w:overflowPunct/>
        <w:topLinePunct w:val="0"/>
        <w:autoSpaceDE/>
        <w:autoSpaceDN/>
        <w:bidi w:val="0"/>
        <w:adjustRightInd w:val="0"/>
        <w:snapToGrid w:val="0"/>
        <w:spacing w:line="360" w:lineRule="auto"/>
        <w:ind w:left="0" w:leftChars="0" w:right="0" w:rightChars="0" w:firstLine="480" w:firstLineChars="200"/>
        <w:jc w:val="both"/>
        <w:textAlignment w:val="auto"/>
        <w:outlineLvl w:val="9"/>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7、保卫处组织相关人员每月不定期、不定点位，对消防设施维保情况进行抽查，抽查内容应涵盖全部消防设施维保项目。发现不符合要求的，每项扣3分。</w:t>
      </w:r>
    </w:p>
    <w:p w14:paraId="54F28439">
      <w:pPr>
        <w:pStyle w:val="9"/>
        <w:keepNext w:val="0"/>
        <w:keepLines w:val="0"/>
        <w:pageBreakBefore w:val="0"/>
        <w:widowControl/>
        <w:kinsoku/>
        <w:wordWrap/>
        <w:overflowPunct/>
        <w:topLinePunct w:val="0"/>
        <w:autoSpaceDE/>
        <w:autoSpaceDN/>
        <w:bidi w:val="0"/>
        <w:adjustRightInd w:val="0"/>
        <w:snapToGrid w:val="0"/>
        <w:spacing w:before="0" w:beforeAutospacing="0" w:after="0" w:afterAutospacing="0" w:line="360" w:lineRule="auto"/>
        <w:ind w:left="0" w:leftChars="0" w:right="0" w:rightChars="0" w:firstLine="480" w:firstLineChars="200"/>
        <w:jc w:val="both"/>
        <w:textAlignment w:val="auto"/>
        <w:outlineLvl w:val="9"/>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8、维保人员应遵行甲方管理要求和其他安全管理的相关规定，如高空作业、动电、动火、动水、动气、有噪音、有污染、启动相关设施的作业等，必须提前与甲方沟通，严格按规范程序进行作业，未按要求执行的，每次扣 1-3 分。</w:t>
      </w:r>
    </w:p>
    <w:p w14:paraId="3B354B4F">
      <w:pPr>
        <w:pStyle w:val="9"/>
        <w:keepNext w:val="0"/>
        <w:keepLines w:val="0"/>
        <w:pageBreakBefore w:val="0"/>
        <w:widowControl/>
        <w:kinsoku/>
        <w:wordWrap/>
        <w:overflowPunct/>
        <w:topLinePunct w:val="0"/>
        <w:autoSpaceDE/>
        <w:autoSpaceDN/>
        <w:bidi w:val="0"/>
        <w:adjustRightInd w:val="0"/>
        <w:snapToGrid w:val="0"/>
        <w:spacing w:before="0" w:beforeAutospacing="0" w:after="0" w:afterAutospacing="0" w:line="360" w:lineRule="auto"/>
        <w:ind w:left="0" w:leftChars="0" w:right="0" w:rightChars="0" w:firstLine="480" w:firstLineChars="200"/>
        <w:jc w:val="both"/>
        <w:textAlignment w:val="auto"/>
        <w:outlineLvl w:val="9"/>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9、未按合同要求的响应时间和故障修复时间到达现场和处理故障的，视情节扣1-5分。</w:t>
      </w:r>
    </w:p>
    <w:p w14:paraId="53E9B540">
      <w:pPr>
        <w:pStyle w:val="9"/>
        <w:keepNext w:val="0"/>
        <w:keepLines w:val="0"/>
        <w:pageBreakBefore w:val="0"/>
        <w:widowControl/>
        <w:kinsoku/>
        <w:wordWrap/>
        <w:overflowPunct/>
        <w:topLinePunct w:val="0"/>
        <w:autoSpaceDE/>
        <w:autoSpaceDN/>
        <w:bidi w:val="0"/>
        <w:adjustRightInd w:val="0"/>
        <w:snapToGrid w:val="0"/>
        <w:spacing w:before="0" w:beforeAutospacing="0" w:after="0" w:afterAutospacing="0" w:line="360" w:lineRule="auto"/>
        <w:ind w:left="0" w:leftChars="0" w:right="0" w:rightChars="0" w:firstLine="480" w:firstLineChars="200"/>
        <w:jc w:val="both"/>
        <w:textAlignment w:val="auto"/>
        <w:outlineLvl w:val="9"/>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10、严格按照合同规定和计划要求，确保系统和设施、设备及信息化平台始终处于良好的运行状态。未能及时发现和排除故障，带病运行者，经发现一次扣3-5分。</w:t>
      </w:r>
    </w:p>
    <w:p w14:paraId="7320036B">
      <w:pPr>
        <w:pStyle w:val="9"/>
        <w:keepNext w:val="0"/>
        <w:keepLines w:val="0"/>
        <w:pageBreakBefore w:val="0"/>
        <w:widowControl/>
        <w:kinsoku/>
        <w:wordWrap/>
        <w:overflowPunct/>
        <w:topLinePunct w:val="0"/>
        <w:autoSpaceDE/>
        <w:autoSpaceDN/>
        <w:bidi w:val="0"/>
        <w:adjustRightInd w:val="0"/>
        <w:snapToGrid w:val="0"/>
        <w:spacing w:before="0" w:beforeAutospacing="0" w:after="0" w:afterAutospacing="0" w:line="360" w:lineRule="auto"/>
        <w:ind w:left="0" w:leftChars="0" w:right="0" w:rightChars="0" w:firstLine="480" w:firstLineChars="200"/>
        <w:jc w:val="both"/>
        <w:textAlignment w:val="auto"/>
        <w:outlineLvl w:val="9"/>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11、遇特殊情况和法定节假日，维保人员必须在办公楼内24小时值班，擅自脱岗、离岗的，发现一次扣10分，并扣除相关费用。</w:t>
      </w:r>
    </w:p>
    <w:p w14:paraId="52D41B38">
      <w:r>
        <w:rPr>
          <w:rFonts w:hint="eastAsia" w:ascii="宋体" w:hAnsi="宋体" w:eastAsia="宋体" w:cs="宋体"/>
          <w:color w:val="auto"/>
          <w:kern w:val="2"/>
          <w:sz w:val="24"/>
          <w:szCs w:val="24"/>
          <w:highlight w:val="none"/>
          <w:lang w:val="en-US" w:eastAsia="zh-CN" w:bidi="ar-SA"/>
        </w:rPr>
        <w:t>12、在维保工作期间，接到有关投诉的，经查属实，视情节严重程度扣1-5分。</w:t>
      </w:r>
    </w:p>
    <w:sectPr>
      <w:footerReference r:id="rId5" w:type="default"/>
      <w:pgSz w:w="11906" w:h="16838"/>
      <w:pgMar w:top="1440" w:right="1800" w:bottom="1440" w:left="1800" w:header="851" w:footer="992" w:gutter="0"/>
      <w:pgNumType w:fmt="decimal"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8879C6">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3BB1568">
                          <w:pPr>
                            <w:pStyle w:val="7"/>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33BB1568">
                    <w:pPr>
                      <w:pStyle w:val="7"/>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MwOWFhODgzZDhlNTZkZTM4ZGZlZTJjYWNmNDI0YzUifQ=="/>
  </w:docVars>
  <w:rsids>
    <w:rsidRoot w:val="10876325"/>
    <w:rsid w:val="004F0F4D"/>
    <w:rsid w:val="010857E2"/>
    <w:rsid w:val="052D7F46"/>
    <w:rsid w:val="05AD64DF"/>
    <w:rsid w:val="0ADE34F7"/>
    <w:rsid w:val="0B5C4D03"/>
    <w:rsid w:val="0CA653DC"/>
    <w:rsid w:val="0E274C11"/>
    <w:rsid w:val="10876325"/>
    <w:rsid w:val="11F33501"/>
    <w:rsid w:val="196640D0"/>
    <w:rsid w:val="1C382B5F"/>
    <w:rsid w:val="1CB93D9D"/>
    <w:rsid w:val="1D48524C"/>
    <w:rsid w:val="1ECD5B85"/>
    <w:rsid w:val="22F664C5"/>
    <w:rsid w:val="24CA4BBB"/>
    <w:rsid w:val="25273966"/>
    <w:rsid w:val="283050FB"/>
    <w:rsid w:val="2975156E"/>
    <w:rsid w:val="2CD87928"/>
    <w:rsid w:val="2D7C41E1"/>
    <w:rsid w:val="32023431"/>
    <w:rsid w:val="32A83CD6"/>
    <w:rsid w:val="34420C73"/>
    <w:rsid w:val="34DA0A32"/>
    <w:rsid w:val="360E18B1"/>
    <w:rsid w:val="3BAA0841"/>
    <w:rsid w:val="3BF3011D"/>
    <w:rsid w:val="455C75A3"/>
    <w:rsid w:val="4D1D7170"/>
    <w:rsid w:val="4D646013"/>
    <w:rsid w:val="542D3DC5"/>
    <w:rsid w:val="57923690"/>
    <w:rsid w:val="5D632CDE"/>
    <w:rsid w:val="5EF37821"/>
    <w:rsid w:val="61D36C4B"/>
    <w:rsid w:val="61EC24E5"/>
    <w:rsid w:val="67984807"/>
    <w:rsid w:val="6C775A02"/>
    <w:rsid w:val="6CB20263"/>
    <w:rsid w:val="6E3B0847"/>
    <w:rsid w:val="6EE70791"/>
    <w:rsid w:val="6F462F26"/>
    <w:rsid w:val="6F5970CA"/>
    <w:rsid w:val="704260BE"/>
    <w:rsid w:val="71310596"/>
    <w:rsid w:val="74DD3202"/>
    <w:rsid w:val="77062109"/>
    <w:rsid w:val="7AD5146A"/>
    <w:rsid w:val="7AFE2D3C"/>
    <w:rsid w:val="7B637D31"/>
    <w:rsid w:val="7C2B6747"/>
    <w:rsid w:val="7DE968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2"/>
    <w:autoRedefine/>
    <w:qFormat/>
    <w:uiPriority w:val="0"/>
    <w:pPr>
      <w:keepNext/>
      <w:spacing w:line="360" w:lineRule="auto"/>
      <w:jc w:val="center"/>
      <w:outlineLvl w:val="0"/>
    </w:pPr>
    <w:rPr>
      <w:rFonts w:ascii="Arial" w:hAnsi="Arial" w:eastAsia="仿宋" w:cs="Arial"/>
      <w:b/>
      <w:snapToGrid w:val="0"/>
      <w:color w:val="000000"/>
      <w:kern w:val="0"/>
      <w:sz w:val="32"/>
      <w:szCs w:val="21"/>
      <w:lang w:eastAsia="en-US"/>
    </w:rPr>
  </w:style>
  <w:style w:type="paragraph" w:styleId="3">
    <w:name w:val="heading 2"/>
    <w:basedOn w:val="1"/>
    <w:next w:val="1"/>
    <w:link w:val="13"/>
    <w:autoRedefine/>
    <w:semiHidden/>
    <w:unhideWhenUsed/>
    <w:qFormat/>
    <w:uiPriority w:val="0"/>
    <w:pPr>
      <w:keepNext/>
      <w:keepLines/>
      <w:spacing w:before="140" w:beforeLines="0" w:after="140" w:afterLines="0" w:line="360" w:lineRule="auto"/>
      <w:jc w:val="center"/>
      <w:outlineLvl w:val="1"/>
    </w:pPr>
    <w:rPr>
      <w:rFonts w:ascii="Arial" w:hAnsi="Arial" w:eastAsia="宋体" w:cs="Arial"/>
      <w:b/>
      <w:bCs/>
      <w:snapToGrid w:val="0"/>
      <w:color w:val="000000"/>
      <w:kern w:val="0"/>
      <w:sz w:val="28"/>
      <w:szCs w:val="32"/>
      <w:lang w:eastAsia="en-US"/>
    </w:rPr>
  </w:style>
  <w:style w:type="paragraph" w:styleId="4">
    <w:name w:val="heading 3"/>
    <w:basedOn w:val="1"/>
    <w:next w:val="1"/>
    <w:link w:val="14"/>
    <w:autoRedefine/>
    <w:semiHidden/>
    <w:unhideWhenUsed/>
    <w:qFormat/>
    <w:uiPriority w:val="0"/>
    <w:pPr>
      <w:keepNext/>
      <w:keepLines/>
      <w:spacing w:before="120" w:after="120" w:line="416" w:lineRule="auto"/>
      <w:ind w:left="720" w:hanging="720"/>
      <w:jc w:val="left"/>
      <w:outlineLvl w:val="2"/>
    </w:pPr>
    <w:rPr>
      <w:rFonts w:ascii="Times New Roman" w:hAnsi="Times New Roman" w:eastAsia="宋体" w:cs="Times New Roman"/>
      <w:b/>
      <w:bCs/>
      <w:snapToGrid w:val="0"/>
      <w:color w:val="000000"/>
      <w:kern w:val="0"/>
      <w:sz w:val="28"/>
      <w:szCs w:val="32"/>
      <w:lang w:eastAsia="en-US"/>
    </w:rPr>
  </w:style>
  <w:style w:type="paragraph" w:styleId="5">
    <w:name w:val="heading 4"/>
    <w:basedOn w:val="1"/>
    <w:next w:val="1"/>
    <w:autoRedefine/>
    <w:semiHidden/>
    <w:unhideWhenUsed/>
    <w:qFormat/>
    <w:uiPriority w:val="0"/>
    <w:pPr>
      <w:keepNext/>
      <w:keepLines/>
      <w:spacing w:before="160" w:after="170" w:line="360" w:lineRule="auto"/>
      <w:jc w:val="left"/>
      <w:outlineLvl w:val="3"/>
    </w:pPr>
    <w:rPr>
      <w:rFonts w:ascii="Arial" w:hAnsi="Arial" w:eastAsia="宋体" w:cs="Times New Roman"/>
      <w:b/>
      <w:bCs/>
      <w:sz w:val="24"/>
      <w:szCs w:val="28"/>
    </w:rPr>
  </w:style>
  <w:style w:type="character" w:default="1" w:styleId="11">
    <w:name w:val="Default Paragraph Font"/>
    <w:autoRedefine/>
    <w:unhideWhenUsed/>
    <w:qFormat/>
    <w:uiPriority w:val="1"/>
  </w:style>
  <w:style w:type="table" w:default="1" w:styleId="10">
    <w:name w:val="Normal Table"/>
    <w:autoRedefine/>
    <w:semiHidden/>
    <w:qFormat/>
    <w:uiPriority w:val="0"/>
    <w:tblPr>
      <w:tblCellMar>
        <w:top w:w="0" w:type="dxa"/>
        <w:left w:w="108" w:type="dxa"/>
        <w:bottom w:w="0" w:type="dxa"/>
        <w:right w:w="108" w:type="dxa"/>
      </w:tblCellMar>
    </w:tblPr>
  </w:style>
  <w:style w:type="paragraph" w:styleId="6">
    <w:name w:val="Body Text"/>
    <w:basedOn w:val="1"/>
    <w:next w:val="5"/>
    <w:qFormat/>
    <w:uiPriority w:val="0"/>
    <w:rPr>
      <w:color w:val="993300"/>
      <w:sz w:val="24"/>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Normal (Web)"/>
    <w:basedOn w:val="1"/>
    <w:qFormat/>
    <w:uiPriority w:val="0"/>
    <w:pPr>
      <w:spacing w:beforeAutospacing="1" w:afterAutospacing="1"/>
      <w:jc w:val="left"/>
    </w:pPr>
    <w:rPr>
      <w:kern w:val="0"/>
      <w:sz w:val="24"/>
    </w:rPr>
  </w:style>
  <w:style w:type="character" w:customStyle="1" w:styleId="12">
    <w:name w:val="标题 1 Char"/>
    <w:basedOn w:val="11"/>
    <w:link w:val="2"/>
    <w:autoRedefine/>
    <w:qFormat/>
    <w:uiPriority w:val="0"/>
    <w:rPr>
      <w:rFonts w:hint="eastAsia" w:ascii="Arial" w:hAnsi="Arial" w:eastAsia="仿宋" w:cs="Arial"/>
      <w:b/>
      <w:bCs/>
      <w:snapToGrid w:val="0"/>
      <w:color w:val="000000"/>
      <w:kern w:val="0"/>
      <w:sz w:val="30"/>
      <w:szCs w:val="21"/>
      <w:lang w:eastAsia="en-US"/>
    </w:rPr>
  </w:style>
  <w:style w:type="character" w:customStyle="1" w:styleId="13">
    <w:name w:val="标题 2 Char"/>
    <w:link w:val="3"/>
    <w:autoRedefine/>
    <w:qFormat/>
    <w:uiPriority w:val="0"/>
    <w:rPr>
      <w:rFonts w:ascii="Arial" w:hAnsi="Arial" w:eastAsia="宋体" w:cs="Arial"/>
      <w:b/>
      <w:bCs/>
      <w:snapToGrid w:val="0"/>
      <w:color w:val="000000"/>
      <w:kern w:val="0"/>
      <w:sz w:val="28"/>
      <w:szCs w:val="32"/>
      <w:lang w:val="en-US" w:eastAsia="en-US" w:bidi="ar-SA"/>
    </w:rPr>
  </w:style>
  <w:style w:type="character" w:customStyle="1" w:styleId="14">
    <w:name w:val="标题 3 Char"/>
    <w:link w:val="4"/>
    <w:autoRedefine/>
    <w:qFormat/>
    <w:uiPriority w:val="0"/>
    <w:rPr>
      <w:rFonts w:ascii="Times New Roman" w:hAnsi="Times New Roman" w:eastAsia="宋体" w:cs="Times New Roman"/>
      <w:b/>
      <w:bCs/>
      <w:snapToGrid w:val="0"/>
      <w:color w:val="000000"/>
      <w:kern w:val="0"/>
      <w:sz w:val="28"/>
      <w:szCs w:val="24"/>
      <w:lang w:eastAsia="en-U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6545</Words>
  <Characters>6820</Characters>
  <Lines>0</Lines>
  <Paragraphs>0</Paragraphs>
  <TotalTime>0</TotalTime>
  <ScaleCrop>false</ScaleCrop>
  <LinksUpToDate>false</LinksUpToDate>
  <CharactersWithSpaces>6974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2024-04-28T06:35:00Z</dcterms:created>
  <dc:creator>热血</dc:creator>
  <cp:lastModifiedBy>热血</cp:lastModifiedBy>
  <dcterms:modified xsi:type="dcterms:W3CDTF">2025-05-12T05:33:26Z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272290AB65B94C8F978F280249D5F205_13</vt:lpwstr>
  </property>
  <property fmtid="{D5CDD505-2E9C-101B-9397-08002B2CF9AE}" pid="4" name="KSOTemplateDocerSaveRecord">
    <vt:lpwstr>eyJoZGlkIjoiNGMwOWFhODgzZDhlNTZkZTM4ZGZlZTJjYWNmNDI0YzUiLCJ1c2VySWQiOiI0ODE1MzEwNjcifQ==</vt:lpwstr>
  </property>
</Properties>
</file>