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版本号：LHZBZC202503520250512001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西安市农作物新品种试验示范监测项目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LHZBZC2025035</w:t>
      </w:r>
      <w:r>
        <w:br/>
      </w:r>
      <w:r>
        <w:br/>
      </w:r>
      <w:r>
        <w:br/>
      </w:r>
    </w:p>
    <w:p>
      <w:pPr>
        <w:pStyle w:val="null3"/>
        <w:jc w:val="center"/>
        <w:outlineLvl w:val="2"/>
      </w:pPr>
      <w:r>
        <w:rPr>
          <w:rFonts w:ascii="仿宋_GB2312" w:hAnsi="仿宋_GB2312" w:cs="仿宋_GB2312" w:eastAsia="仿宋_GB2312"/>
          <w:sz w:val="28"/>
          <w:b/>
        </w:rPr>
        <w:t>西安市种子管理站</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西安市种子管理站</w:t>
      </w:r>
      <w:r>
        <w:rPr>
          <w:rFonts w:ascii="仿宋_GB2312" w:hAnsi="仿宋_GB2312" w:cs="仿宋_GB2312" w:eastAsia="仿宋_GB2312"/>
        </w:rPr>
        <w:t>委托，拟对</w:t>
      </w:r>
      <w:r>
        <w:rPr>
          <w:rFonts w:ascii="仿宋_GB2312" w:hAnsi="仿宋_GB2312" w:cs="仿宋_GB2312" w:eastAsia="仿宋_GB2312"/>
        </w:rPr>
        <w:t>西安市农作物新品种试验示范监测项目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LHZBZC2025035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西安市农作物新品种试验示范监测项目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农作物新品种试验示范监测项目对农作物的生长发育状态、病虫害情况以及土壤墒情等进行实时监控，动态分析及可视化展示，其应用可以科学指导田间管理，提高全市农作物新品种试验示范水平和质量。本项目计划在全市涉农区县，包含鄠邑、蓝田、临潼、高陵和西安市农作物新品种试验示范站（高陵）等地布设5个监测点位，每个监测点位均安装气候自动观测站、虫情监测设备、苗情监测设备、墒情监测设备、大地探针等监测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采购包1（西安市农作物新品种试验示范监测项目）：属于专门面向中小企业采购。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具有财务审计资质的单位出具的财务报告（成立时间至开标时间不足一年的可提供成立后任意时段的财务报表）或开标前三个月内基本开户银行出具的资信证明或财政部门认可的政府采购专业担保机构出具的投标担保函。</w:t>
      </w:r>
    </w:p>
    <w:p>
      <w:pPr>
        <w:pStyle w:val="null3"/>
      </w:pPr>
      <w:r>
        <w:rPr>
          <w:rFonts w:ascii="仿宋_GB2312" w:hAnsi="仿宋_GB2312" w:cs="仿宋_GB2312" w:eastAsia="仿宋_GB2312"/>
        </w:rPr>
        <w:t>3、税收缴纳证明：提供自2024年12月1日至递交投标响应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自2024年12月1日至递交投标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6、承诺函：提供具有履行合同所必需的设备和专业技术能力的承诺。</w:t>
      </w:r>
    </w:p>
    <w:p>
      <w:pPr>
        <w:pStyle w:val="null3"/>
      </w:pPr>
      <w:r>
        <w:rPr>
          <w:rFonts w:ascii="仿宋_GB2312" w:hAnsi="仿宋_GB2312" w:cs="仿宋_GB2312" w:eastAsia="仿宋_GB2312"/>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8、本项目不接受联合体投标，不允许分包：供应商应提供《非联合体不分包投标声明》，视为独立投标，不分包。</w:t>
      </w:r>
    </w:p>
    <w:p>
      <w:pPr>
        <w:pStyle w:val="null3"/>
      </w:pPr>
      <w:r>
        <w:rPr>
          <w:rFonts w:ascii="仿宋_GB2312" w:hAnsi="仿宋_GB2312" w:cs="仿宋_GB2312" w:eastAsia="仿宋_GB2312"/>
        </w:rPr>
        <w:t>9、供应商企业关系关联承诺书：供应商单位负责人为同一人或者存在直接控股、管理关系的不同供应商，不得参加同一合同项下的政府采购活动。</w:t>
      </w:r>
    </w:p>
    <w:p>
      <w:pPr>
        <w:pStyle w:val="null3"/>
      </w:pPr>
      <w:r>
        <w:rPr>
          <w:rFonts w:ascii="仿宋_GB2312" w:hAnsi="仿宋_GB2312" w:cs="仿宋_GB2312" w:eastAsia="仿宋_GB2312"/>
        </w:rPr>
        <w:t>10、法定代表人授权书：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11、资质要求：投标单位需具有国家建设行政主管部门颁发的合格有效的测绘乙级及以上资质（专业类别须包含摄影测量与遥感、地理信息系统工程)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西安市种子管理站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陕西省西安市文艺北路146号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西安市种子管理站经办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029-87804388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西安市未央区太华北路甲字88号大明宫中央广场A座22层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委《招标代理服务收费管理暂行办法》（计价格[2002]1980号）以及《关于进一步放开建设项目专项业务服务价格的通知》（发改价格[2015]299号）规定以中标（成交）价为依据准标计算代理服务费，由成交单位在领取成交通知书时向受托方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西安市种子管理站</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西安市种子管理站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西安市种子管理站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联系人：庞婷</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地址：西安市未央区太华北路甲字88号大明宫中央广场A座22层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农作物新品种试验示范监测项目对农作物的生长发育状态、病虫害情况以及土壤墒情等进行实时监控，动态分析及可视化展示，其应用可以科学指导田间管理，提高全市农作物新品种试验示范水平和质量。本项目计划在全市涉农区县，包含鄠邑、蓝田、临潼、高陵和西安市农作物新品种试验示范站（高陵）等地布设5个监测点位，每个监测点位均安装气候自动观测站、虫情监测设备、苗情监测设备、墒情监测设备、大地探针等监测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西安市农作物新品种试验示范监测项目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标的名称：西安市农作物新品种试验示范监测项目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8"/>
              <w:jc w:val="both"/>
            </w:pPr>
            <w:r>
              <w:rPr>
                <w:rFonts w:ascii="仿宋_GB2312" w:hAnsi="仿宋_GB2312" w:cs="仿宋_GB2312" w:eastAsia="仿宋_GB2312"/>
                <w:sz w:val="24"/>
              </w:rPr>
              <w:t>采购内容</w:t>
            </w:r>
            <w:r>
              <w:rPr>
                <w:rFonts w:ascii="仿宋_GB2312" w:hAnsi="仿宋_GB2312" w:cs="仿宋_GB2312" w:eastAsia="仿宋_GB2312"/>
                <w:sz w:val="24"/>
              </w:rPr>
              <w:t>如下：</w:t>
            </w:r>
          </w:p>
          <w:p>
            <w:pPr>
              <w:pStyle w:val="null3"/>
              <w:ind w:firstLine="448"/>
              <w:jc w:val="both"/>
            </w:pPr>
            <w:r>
              <w:rPr>
                <w:rFonts w:ascii="仿宋_GB2312" w:hAnsi="仿宋_GB2312" w:cs="仿宋_GB2312" w:eastAsia="仿宋_GB2312"/>
                <w:sz w:val="24"/>
              </w:rPr>
              <w:t>（</w:t>
            </w:r>
            <w:r>
              <w:rPr>
                <w:rFonts w:ascii="仿宋_GB2312" w:hAnsi="仿宋_GB2312" w:cs="仿宋_GB2312" w:eastAsia="仿宋_GB2312"/>
                <w:sz w:val="24"/>
              </w:rPr>
              <w:t>1）购置气候自动观测站、虫情监测设备、苗情监测设备、墒情监测设备、大地探针及控制器等设备设施</w:t>
            </w:r>
            <w:r>
              <w:rPr>
                <w:rFonts w:ascii="仿宋_GB2312" w:hAnsi="仿宋_GB2312" w:cs="仿宋_GB2312" w:eastAsia="仿宋_GB2312"/>
                <w:sz w:val="24"/>
              </w:rPr>
              <w:t>。</w:t>
            </w:r>
          </w:p>
          <w:p>
            <w:pPr>
              <w:pStyle w:val="null3"/>
              <w:ind w:firstLine="448"/>
              <w:jc w:val="both"/>
            </w:pPr>
            <w:r>
              <w:rPr>
                <w:rFonts w:ascii="仿宋_GB2312" w:hAnsi="仿宋_GB2312" w:cs="仿宋_GB2312" w:eastAsia="仿宋_GB2312"/>
                <w:sz w:val="24"/>
              </w:rPr>
              <w:t>（</w:t>
            </w:r>
            <w:r>
              <w:rPr>
                <w:rFonts w:ascii="仿宋_GB2312" w:hAnsi="仿宋_GB2312" w:cs="仿宋_GB2312" w:eastAsia="仿宋_GB2312"/>
                <w:sz w:val="24"/>
              </w:rPr>
              <w:t>2）获取覆盖项目区域的气候自动观测站</w:t>
            </w:r>
            <w:r>
              <w:rPr>
                <w:rFonts w:ascii="仿宋_GB2312" w:hAnsi="仿宋_GB2312" w:cs="仿宋_GB2312" w:eastAsia="仿宋_GB2312"/>
                <w:sz w:val="24"/>
              </w:rPr>
              <w:t>数据</w:t>
            </w:r>
            <w:r>
              <w:rPr>
                <w:rFonts w:ascii="仿宋_GB2312" w:hAnsi="仿宋_GB2312" w:cs="仿宋_GB2312" w:eastAsia="仿宋_GB2312"/>
                <w:sz w:val="24"/>
              </w:rPr>
              <w:t>，实时监测气象要素，为农作物生长提供精准的气象数据。</w:t>
            </w:r>
          </w:p>
          <w:p>
            <w:pPr>
              <w:pStyle w:val="null3"/>
              <w:ind w:firstLine="448"/>
              <w:jc w:val="both"/>
            </w:pPr>
            <w:r>
              <w:rPr>
                <w:rFonts w:ascii="仿宋_GB2312" w:hAnsi="仿宋_GB2312" w:cs="仿宋_GB2312" w:eastAsia="仿宋_GB2312"/>
                <w:sz w:val="24"/>
              </w:rPr>
              <w:t>（</w:t>
            </w:r>
            <w:r>
              <w:rPr>
                <w:rFonts w:ascii="仿宋_GB2312" w:hAnsi="仿宋_GB2312" w:cs="仿宋_GB2312" w:eastAsia="仿宋_GB2312"/>
                <w:sz w:val="24"/>
              </w:rPr>
              <w:t>3）获取高效的虫情监测数据，及时发现和预警病虫害的发生，为病虫害防治提供科学依据。</w:t>
            </w:r>
          </w:p>
          <w:p>
            <w:pPr>
              <w:pStyle w:val="null3"/>
              <w:ind w:firstLine="448"/>
              <w:jc w:val="both"/>
            </w:pPr>
            <w:r>
              <w:rPr>
                <w:rFonts w:ascii="仿宋_GB2312" w:hAnsi="仿宋_GB2312" w:cs="仿宋_GB2312" w:eastAsia="仿宋_GB2312"/>
                <w:sz w:val="24"/>
              </w:rPr>
              <w:t>（</w:t>
            </w:r>
            <w:r>
              <w:rPr>
                <w:rFonts w:ascii="仿宋_GB2312" w:hAnsi="仿宋_GB2312" w:cs="仿宋_GB2312" w:eastAsia="仿宋_GB2312"/>
                <w:sz w:val="24"/>
              </w:rPr>
              <w:t>4）获取</w:t>
            </w:r>
            <w:r>
              <w:rPr>
                <w:rFonts w:ascii="仿宋_GB2312" w:hAnsi="仿宋_GB2312" w:cs="仿宋_GB2312" w:eastAsia="仿宋_GB2312"/>
                <w:sz w:val="24"/>
              </w:rPr>
              <w:t>清晰</w:t>
            </w:r>
            <w:r>
              <w:rPr>
                <w:rFonts w:ascii="仿宋_GB2312" w:hAnsi="仿宋_GB2312" w:cs="仿宋_GB2312" w:eastAsia="仿宋_GB2312"/>
                <w:sz w:val="24"/>
              </w:rPr>
              <w:t>的苗情监测数据，实现对农作物生长状况的动态监测和获取，助力精准农业管理。</w:t>
            </w:r>
          </w:p>
          <w:p>
            <w:pPr>
              <w:pStyle w:val="null3"/>
              <w:ind w:firstLine="448"/>
              <w:jc w:val="both"/>
            </w:pPr>
            <w:r>
              <w:rPr>
                <w:rFonts w:ascii="仿宋_GB2312" w:hAnsi="仿宋_GB2312" w:cs="仿宋_GB2312" w:eastAsia="仿宋_GB2312"/>
                <w:sz w:val="24"/>
              </w:rPr>
              <w:t>（</w:t>
            </w:r>
            <w:r>
              <w:rPr>
                <w:rFonts w:ascii="仿宋_GB2312" w:hAnsi="仿宋_GB2312" w:cs="仿宋_GB2312" w:eastAsia="仿宋_GB2312"/>
                <w:sz w:val="24"/>
              </w:rPr>
              <w:t>5）获取准确的墒情监测数据，准确掌握土壤水分状况，为合理灌溉提供决策支持。</w:t>
            </w:r>
          </w:p>
          <w:p>
            <w:pPr>
              <w:pStyle w:val="null3"/>
              <w:ind w:firstLine="448"/>
              <w:jc w:val="both"/>
            </w:pPr>
            <w:r>
              <w:rPr>
                <w:rFonts w:ascii="仿宋_GB2312" w:hAnsi="仿宋_GB2312" w:cs="仿宋_GB2312" w:eastAsia="仿宋_GB2312"/>
                <w:sz w:val="24"/>
              </w:rPr>
              <w:t>（</w:t>
            </w:r>
            <w:r>
              <w:rPr>
                <w:rFonts w:ascii="仿宋_GB2312" w:hAnsi="仿宋_GB2312" w:cs="仿宋_GB2312" w:eastAsia="仿宋_GB2312"/>
                <w:sz w:val="24"/>
              </w:rPr>
              <w:t>6）获取</w:t>
            </w:r>
            <w:r>
              <w:rPr>
                <w:rFonts w:ascii="仿宋_GB2312" w:hAnsi="仿宋_GB2312" w:cs="仿宋_GB2312" w:eastAsia="仿宋_GB2312"/>
                <w:sz w:val="24"/>
              </w:rPr>
              <w:t>准确的</w:t>
            </w:r>
            <w:r>
              <w:rPr>
                <w:rFonts w:ascii="仿宋_GB2312" w:hAnsi="仿宋_GB2312" w:cs="仿宋_GB2312" w:eastAsia="仿宋_GB2312"/>
                <w:sz w:val="24"/>
              </w:rPr>
              <w:t>大地探针</w:t>
            </w:r>
            <w:r>
              <w:rPr>
                <w:rFonts w:ascii="仿宋_GB2312" w:hAnsi="仿宋_GB2312" w:cs="仿宋_GB2312" w:eastAsia="仿宋_GB2312"/>
                <w:sz w:val="24"/>
              </w:rPr>
              <w:t>数据</w:t>
            </w:r>
            <w:r>
              <w:rPr>
                <w:rFonts w:ascii="仿宋_GB2312" w:hAnsi="仿宋_GB2312" w:cs="仿宋_GB2312" w:eastAsia="仿宋_GB2312"/>
                <w:sz w:val="24"/>
              </w:rPr>
              <w:t>，深入分析土壤理化性质，为农作物生长提供良好的土壤环境保障。</w:t>
            </w:r>
          </w:p>
          <w:p>
            <w:pPr>
              <w:pStyle w:val="null3"/>
              <w:ind w:firstLine="448"/>
              <w:jc w:val="both"/>
            </w:pPr>
            <w:r>
              <w:rPr>
                <w:rFonts w:ascii="仿宋_GB2312" w:hAnsi="仿宋_GB2312" w:cs="仿宋_GB2312" w:eastAsia="仿宋_GB2312"/>
                <w:sz w:val="24"/>
              </w:rPr>
              <w:t>（</w:t>
            </w:r>
            <w:r>
              <w:rPr>
                <w:rFonts w:ascii="仿宋_GB2312" w:hAnsi="仿宋_GB2312" w:cs="仿宋_GB2312" w:eastAsia="仿宋_GB2312"/>
                <w:sz w:val="24"/>
              </w:rPr>
              <w:t>7）整合各类物联网监测数据，将项目中设计布设的物联网设备运行中产生的数据，集成到现有</w:t>
            </w:r>
            <w:r>
              <w:rPr>
                <w:rFonts w:ascii="仿宋_GB2312" w:hAnsi="仿宋_GB2312" w:cs="仿宋_GB2312" w:eastAsia="仿宋_GB2312"/>
                <w:sz w:val="24"/>
              </w:rPr>
              <w:t>西安市</w:t>
            </w:r>
            <w:r>
              <w:rPr>
                <w:rFonts w:ascii="仿宋_GB2312" w:hAnsi="仿宋_GB2312" w:cs="仿宋_GB2312" w:eastAsia="仿宋_GB2312"/>
                <w:sz w:val="24"/>
              </w:rPr>
              <w:t>农情监测系统中，实现数据的集中管理和可视化展示，为决策提供直观依据。</w:t>
            </w:r>
          </w:p>
          <w:tbl>
            <w:tblPr>
              <w:tblBorders>
                <w:top w:val="none" w:color="000000" w:sz="4"/>
                <w:left w:val="none" w:color="000000" w:sz="4"/>
                <w:bottom w:val="none" w:color="000000" w:sz="4"/>
                <w:right w:val="none" w:color="000000" w:sz="4"/>
                <w:insideH w:val="none"/>
                <w:insideV w:val="none"/>
              </w:tblBorders>
            </w:tblPr>
            <w:tblGrid>
              <w:gridCol w:w="205"/>
              <w:gridCol w:w="500"/>
              <w:gridCol w:w="205"/>
              <w:gridCol w:w="259"/>
              <w:gridCol w:w="250"/>
              <w:gridCol w:w="277"/>
              <w:gridCol w:w="277"/>
              <w:gridCol w:w="312"/>
              <w:gridCol w:w="241"/>
            </w:tblGrid>
            <w:tr>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0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2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合计</w:t>
                  </w:r>
                </w:p>
              </w:tc>
              <w:tc>
                <w:tcPr>
                  <w:tcW w:type="dxa" w:w="161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布设地点</w:t>
                  </w:r>
                </w:p>
              </w:tc>
            </w:tr>
            <w:tr>
              <w:tc>
                <w:tcPr>
                  <w:tcW w:type="dxa" w:w="205"/>
                  <w:vMerge/>
                  <w:tcBorders>
                    <w:top w:val="single" w:color="000000" w:sz="4"/>
                    <w:left w:val="single" w:color="000000" w:sz="4"/>
                    <w:bottom w:val="single" w:color="000000" w:sz="4"/>
                    <w:right w:val="single" w:color="000000" w:sz="4"/>
                  </w:tcBorders>
                </w:tcPr>
                <w:p/>
              </w:tc>
              <w:tc>
                <w:tcPr>
                  <w:tcW w:type="dxa" w:w="500"/>
                  <w:vMerge/>
                  <w:tcBorders>
                    <w:top w:val="single" w:color="000000" w:sz="4"/>
                    <w:left w:val="none" w:color="000000" w:sz="4"/>
                    <w:bottom w:val="single" w:color="000000" w:sz="4"/>
                    <w:right w:val="single" w:color="000000" w:sz="4"/>
                  </w:tcBorders>
                </w:tcPr>
                <w:p/>
              </w:tc>
              <w:tc>
                <w:tcPr>
                  <w:tcW w:type="dxa" w:w="205"/>
                  <w:vMerge/>
                  <w:tcBorders>
                    <w:top w:val="singl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西安市农作物新品种试验站</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高陵区种子管理站试验基地</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临潼区种子管理站试验基地</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蓝田县种子管理站试验基地</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鄠邑区种子管理站试验基地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西安市种子管理站</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气候自动观测站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虫情监测设备</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苗情监测设备</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墒情监测</w:t>
                  </w:r>
                  <w:r>
                    <w:rPr>
                      <w:rFonts w:ascii="仿宋_GB2312" w:hAnsi="仿宋_GB2312" w:cs="仿宋_GB2312" w:eastAsia="仿宋_GB2312"/>
                      <w:sz w:val="21"/>
                      <w:color w:val="000000"/>
                    </w:rPr>
                    <w:t>设备</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大地探针</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物联网数据展示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数据集成</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rPr>
              <w:t>设备</w:t>
            </w:r>
            <w:r>
              <w:rPr>
                <w:rFonts w:ascii="仿宋_GB2312" w:hAnsi="仿宋_GB2312" w:cs="仿宋_GB2312" w:eastAsia="仿宋_GB2312"/>
                <w:sz w:val="21"/>
              </w:rPr>
              <w:t>具体</w:t>
            </w:r>
            <w:r>
              <w:rPr>
                <w:rFonts w:ascii="仿宋_GB2312" w:hAnsi="仿宋_GB2312" w:cs="仿宋_GB2312" w:eastAsia="仿宋_GB2312"/>
                <w:sz w:val="21"/>
              </w:rPr>
              <w:t>技术要求</w:t>
            </w:r>
            <w:r>
              <w:rPr>
                <w:rFonts w:ascii="仿宋_GB2312" w:hAnsi="仿宋_GB2312" w:cs="仿宋_GB2312" w:eastAsia="仿宋_GB2312"/>
                <w:sz w:val="21"/>
              </w:rPr>
              <w:t>：</w:t>
            </w:r>
          </w:p>
          <w:tbl>
            <w:tblPr>
              <w:tblInd w:type="dxa" w:w="135"/>
              <w:tblBorders>
                <w:top w:val="none" w:color="000000" w:sz="4"/>
                <w:left w:val="none" w:color="000000" w:sz="4"/>
                <w:bottom w:val="none" w:color="000000" w:sz="4"/>
                <w:right w:val="none" w:color="000000" w:sz="4"/>
                <w:insideH w:val="none"/>
                <w:insideV w:val="none"/>
              </w:tblBorders>
            </w:tblPr>
            <w:tblGrid>
              <w:gridCol w:w="111"/>
              <w:gridCol w:w="111"/>
              <w:gridCol w:w="2085"/>
              <w:gridCol w:w="137"/>
              <w:gridCol w:w="98"/>
            </w:tblGrid>
            <w:tr>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2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主要技术规格</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农业气象自动观测站</w:t>
                  </w: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支持（移动、联通、电信）网络传输</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1）大气温度：温度测量范围≥-20℃-80℃；温度长期稳定性：≤0.1℃；准确度≤±0.3℃ 。</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2）大气湿度：湿度测量范围：0-100%RH；湿度长期稳定性≤1%RH；准确度≤±3%RH。</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3）风速（ABS）：测量范围≥0-30m/s；分辨率≤0.1m/s；测量精度≤±2m/s。</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4）风向（ABS）：量程：0～360°；分辨率≤1°；准确度≤±5°。</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5）雨雪传感器： 工作温度≥-40°C~60°C，日照时数测量范围：0～24h；分辨率≤0.1h。</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6）雨量：雨量强度范围≥0-180mm/h；分辨率：≤0.2mm/h；测量精度：≤±4%。</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7）大气压：测量范围≥0～110kpa；准确度：≤±0.5%；分辨率：≤0.01kPa。</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8）太阳总辐射：测量范围≥0～2000W、显示分辨率：1W、允差：±5％。</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9）太阳能供电系统：单晶太阳能板≥60W，配套电池≥30AH，满电条件下，可在阴雨天连续工作15天以上，设备自带电池状态检测功能。</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10）数据存储：每五分钟储存一次测量参数,可储存≥10万条数据。</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11）LED数据显示屏：尺寸≥201*105cm，太阳能供电或市电，户外使用，默认为铝制合金框架。</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12）配置立杆≥3m，具备避雷针、美观罩、检修口等，配套固定地笼。</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虫情监测设备</w:t>
                  </w: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支持（移动、联通、电信）网络传输</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1）电源配置：太阳能供电或市电，太阳能功能≥300W，配套电池≥200ah。</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2）控制模式：光控，雨控，时控，分段时控,远程控制，可编程自动控制。</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3）相机：≥1200 万像素超清成像系统。</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4）功耗：总功率≤450W，待机功率≤5W。</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5）诱虫光源：20W 黑光灯，灯管启动时间≤5S。</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6）虫体烘干功能：采用红外技术，定时自动对害虫进行烘干确保虫体干燥完整。</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 AI智能计数功能：害虫通过特殊落虫设备，对常见虫害做自动识别计数，并上传到云服务器。</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8）虫水分离功能：具有自动排水及虫水分离机构，能有效将水虫分离，箱体内干燥不腐烂。</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9）烘干温控功能：配有温度自动调节器，工作 15分钟后达到85±5℃,烘干温度可自行设置。</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10）工作环境：环境温度0℃-40℃,储存温度-20℃-60℃。配置LCD控制屏；能显示环境温度、湿度等数据</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12）防雷及记忆功能：自带防雷装置可有效防止雷击，具有断电记忆功能，通电后恢复之前工作。</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13）害虫致死率：害虫完整率≥95%，害虫致死率≥98%。</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14）太阳能供电系统：太阳能功能≥300W，配套电池≥200ah。</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苗情监测设备</w:t>
                  </w: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支持（移动、联通、电信）网络传输</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c>
                <w:tcPr>
                  <w:tcW w:type="dxa" w:w="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1）≥200万变焦智能网络摄像机；</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2）水平范围：360°</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3）存储功能：支持MicroSD(即TF卡)/Micro SDHC/Micro SDXC 卡；</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4）通讯接口：RJ45网口，10M/100M自适应以太网；</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5）电流及功耗： DC12V，15.6W Max；</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6）电源供应：太阳能供电单元或市电组合的方式，DC12V±20%；</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7）防水防尘等级：≥IP66。</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8）配置立杆≥3m，具备避雷针、美观罩、检修口等，配套固定地笼。</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墒情监测设备</w:t>
                  </w: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支持（移动、联通、电信）网络传输</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1）土壤温度：监测指标支持 3 层土壤温度监测（10cm,20cm,30cm）；测量范围 ≥ -40℃~80℃;精度：≤±0.5℃；分辨率：≤0.1℃</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2）土壤湿度：监测指标支持 3 层土壤水分监测：（10cm,20cm,30cm），测量范围：0～100%（体积含水量）；分辨率：≤0.1%；误差：≤ ±3%。</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3）工作温度≥-25℃~80℃</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4）防护等级，技术要求：≥IP66；</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5）电源供应：太阳能供电单元或市电组合的方式，DC12V±20%；</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大地探针</w:t>
                  </w: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支持（移动、联通、电信）网络传输</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1）土壤温湿度传感器：量程温度≥-40℃～80℃，精度±0.5℃；湿度≤0-100%，精度≤±5%。</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2）土壤EC：量程≥0-10000us/cm，分辨率：1us/cm，精度：≤±10us/cm</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3）土壤PH：量程≥3-9PH，精度：≤±0.3PH</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4）土壤氮磷钾(N/P/K)：量程≥0-1999mg/kg，分辨率≤：1mg/kg（mg/l），精度：≤±2%F.s</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5）电源供应：太阳能供电单元或市电组合的方式，DC12V±20%；</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物联网数据展示</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展示屏采用</w:t>
                  </w:r>
                  <w:r>
                    <w:rPr>
                      <w:rFonts w:ascii="仿宋_GB2312" w:hAnsi="仿宋_GB2312" w:cs="仿宋_GB2312" w:eastAsia="仿宋_GB2312"/>
                      <w:sz w:val="21"/>
                      <w:color w:val="000000"/>
                    </w:rPr>
                    <w:t>LED，显示屏内径尺寸≥2560mm*1600mm，分辨率≥P1.8mm。系统配备专业视频处理器、接收卡、电源供应设备、外框结构以及配套控件。视频处理器确保视频信号的高质量处理与传输，接收卡精准接收并解析信号，电源设备为各组件稳定供电，外框则为显示屏提供防护与支撑，配套控件实现对整个显示系统的便捷操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物联网数据集成</w:t>
                  </w: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物联网数据集成要求实时采集物联网设备产生的的数据，集成接入到现有西安市农情监测系统中。</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中控台：中控台配置笔记本电脑，依托可视化技术，以“一张图”的形式直观呈现各个试验基地的基本信息，包括但不限于站点名称、功能介绍等。同时，清晰标注各试验基地的地理位置，通过地图定位功能，实现快速定位。对于物联网设备，不仅展示其布设位置，还提供设备基本介绍，涵盖设备型号、功能特点等，便于操作人员全面了解设备情况，提高操作效率。</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②数据集成：依据物联网数据集成要求，本项目布设的农业气象站、虫情监测设备、苗情监测设备、墒情监测设备、大地探针等物联网设备在运行过程中产生的数据，将集成接入至市农业农村局现有的农情监测系统。确保数据传输的稳定性与准确性，为农情监测提供可靠的数据支持。以各类子站为基本单元，对所有物联网设备的采集数据进行实时展示。操作人员可通过数据显示，实时获取设备的运行状态与采集数据。支持按设备、按时间对设备的历史存储信息进行历史数据查询。操作人员可根据实际需求，灵活选择查询条件，快速获取所需历史数据。</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r>
              <w:tc>
                <w:tcPr>
                  <w:tcW w:type="dxa" w:w="111"/>
                  <w:vMerge/>
                  <w:tcBorders>
                    <w:top w:val="none" w:color="000000" w:sz="4"/>
                    <w:left w:val="singl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③物联网控制与数据管理：管理各类物联网设备数据，设置权限信息，仅允许授权用户访问和操作。并在西安市种子管理站会议室内配备数据存储设备等。接收、存储各监测模块传输的数据，并对数据进行可视化展示。</w:t>
                  </w:r>
                </w:p>
              </w:tc>
              <w:tc>
                <w:tcPr>
                  <w:tcW w:type="dxa" w:w="137"/>
                  <w:vMerge/>
                  <w:tcBorders>
                    <w:top w:val="none" w:color="000000" w:sz="4"/>
                    <w:left w:val="none" w:color="000000" w:sz="4"/>
                    <w:bottom w:val="single" w:color="000000" w:sz="4"/>
                    <w:right w:val="single" w:color="000000" w:sz="4"/>
                  </w:tcBorders>
                </w:tcPr>
                <w:p/>
              </w:tc>
              <w:tc>
                <w:tcPr>
                  <w:tcW w:type="dxa" w:w="98"/>
                  <w:vMerge/>
                  <w:tcBorders>
                    <w:top w:val="non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供货期6个月（含安装调试），硬件产品质保及免费运维期限一年。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全部安装调试完成，验收合格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方根据合同要求进行验收,验收依据为合同文本、招标文件、投标响应文件以及由双方约定的其他协议类文本。(2)验收合格后，填写验收单，并向采购方提交所有资料，以便使用单位日后管理和维护。(3)验收由采购方组织，成交方配合进行。验收过程中所产生的费用由成交方承担。(4)验收标准;按国家有关规定以及采购方招标文件的质量要求和技术指标、成交方的投标响应文件及承诺与合同约定标准进行验收;采购方、成交方双方如对质量要求和技术指标的约定标准有相互抵触或异议的事项，由采购方在招标文件与投标响应文件中按质量要求和技术指标比较优胜的原则确定该项的约定标准进行验收。(5)验收时如发现所交付的货物有短缺、次品、损坏或其它不符合标准及本合同规定之情形者，采购方应做出详尽的现场记录，或由采购方、成交方双方签署备忘录，此现场记录或备忘录可用作补充、缺失和更换损坏部件的有效证据，由此产生的时间延误与有关费用由成交方承担，验收期限相应顺延。(6)如质量验收合格，双方签署质量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响应文件。同时，中标供应商在领取中标通知书时需提交纸质版投标响应文件正本壹份、副本贰套。纸质版文件内容应于电子版文件内容保持一致。地点:西安市未央区太华北路甲字88号大明宫中央广场A座22层代理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具有财务审计资质的单位出具的财务报告（成立时间至开标时间不足一年的可提供成立后任意时段的财务报表）或开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提供自2024年12月1日至递交投标响应文件截止之日内已缴存任意一个月的依法缴纳税收的相关凭据，凭据应有税务机关或代收机关的公章或业务专用章。依法免税或无须缴纳税收的供应商，应提供相应证明文件。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提供自2024年12月1日至递交投标响应文件截止之日前一年内任意一个月的社会保障资金缴存单据或社保机构开具的社会保险参保缴费情况证明。依法不需要缴纳社会保障资金的供应商应提供相关文件证明。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供应商单位负责人为同一人或者存在直接控股、管理关系的不同供应商，不得参加同一合同项下的政府采购活动。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投标单位需具有国家建设行政主管部门颁发的合格有效的测绘乙级及以上资质（专业类别须包含摄影测量与遥感、地理信息系统工程)</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投标响应文件按照招标文件规定要求签署、盖章的</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供应商应提交的相关资格证明材料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满足本招标文件中的实质性条款要求:合同履行期限、供货地点、支付方式</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投标人提供所投产品技术指标(参数详见技术偏离表)，经评审专家审定方可得分。 注：参数优于或完全符合招标文件采购要求得 10 分，参数负偏离一项扣0.5分，扣完为止。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投标人对项目背景、目标、内容、需求认知全面、准确，提出科学、可行的技术路线。内容全面，实际可行的得(7-10]分，内容较全面，实际可行的得（3-7]分，内容简单，缺项的得（0-3]分，未提供的不计分。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技术方法</w:t>
            </w:r>
          </w:p>
        </w:tc>
        <w:tc>
          <w:tcPr>
            <w:tcW w:type="dxa" w:w="2492"/>
          </w:tcPr>
          <w:p>
            <w:pPr>
              <w:pStyle w:val="null3"/>
            </w:pPr>
            <w:r>
              <w:rPr>
                <w:rFonts w:ascii="仿宋_GB2312" w:hAnsi="仿宋_GB2312" w:cs="仿宋_GB2312" w:eastAsia="仿宋_GB2312"/>
              </w:rPr>
              <w:t>投标人对项目技术要求提出合理科学可行的技术方法，技 术方法有针对性，能解决项目的技术难点。硬件设备满足各项监测内容需求。内容全面，实际可行的得（7-10]分，内容较全面，实际可行的得（3-7]分，内容简单的得（1-3] 分，内容欠缺，不符合项目的得（0-1]分，未提供的不计分。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质量管控</w:t>
            </w:r>
          </w:p>
        </w:tc>
        <w:tc>
          <w:tcPr>
            <w:tcW w:type="dxa" w:w="2492"/>
          </w:tcPr>
          <w:p>
            <w:pPr>
              <w:pStyle w:val="null3"/>
            </w:pPr>
            <w:r>
              <w:rPr>
                <w:rFonts w:ascii="仿宋_GB2312" w:hAnsi="仿宋_GB2312" w:cs="仿宋_GB2312" w:eastAsia="仿宋_GB2312"/>
              </w:rPr>
              <w:t>投标人提供针对本项目内部技术和质量管控体系工作方案，管控体系健全，人员安排合理，责任划分明确，管理组织架构完整，优秀的得（5-8]分；有人员安排，能提供管控体系和管理组织架构，一般的得（2-5]分；人员安排模糊，责任划分不明确的得（0-2]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投标人提供的售后服务方案、售后服务承诺的可行性、完整性以及服务承诺落实的保障措施，维护期内外的后续技术支持和维护能力情况等。方案详细、完善、合理、可行 （4-6]分，方案合理，可行性欠缺的得（2-4]分，方案不全，不便于操作（0-2]分，未提供的不计分。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投标人提供可靠的、合理的数据保密、数据管理方案和具体措施。软硬件条件好，方案优秀的得（4-6]分，一般的得（2-4]分，差的得（0-2]分，未提供的不计分。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本项目技术人员配备情况</w:t>
            </w:r>
          </w:p>
        </w:tc>
        <w:tc>
          <w:tcPr>
            <w:tcW w:type="dxa" w:w="2492"/>
          </w:tcPr>
          <w:p>
            <w:pPr>
              <w:pStyle w:val="null3"/>
            </w:pPr>
            <w:r>
              <w:rPr>
                <w:rFonts w:ascii="仿宋_GB2312" w:hAnsi="仿宋_GB2312" w:cs="仿宋_GB2312" w:eastAsia="仿宋_GB2312"/>
              </w:rPr>
              <w:t>（1）项目负责人具有摄影测量与遥感类高级及以上工程 师证书得 2分，最高得2分； （2）项目技术负责人具有相关中级及以上职称，中级得1分，高级得2分，最高得2分； （3）建立完善的项目组织机构，且人员配备合理，职责分工明确（项目负责人和技术负责人除外） ，共计4分： ①具有电子信息、自动化控制中级及以上证书的，每提供 1人得0.5分，最高得 1分 ②具有摄影测量与遥感、测绘相关专业，每提供1个得 0.5分，最高2分 ③具有地理信息工程或地图制图相关专业中级及以上职称证书每提供 1个得0.5分，最高 1分. （4）针对本项目提供的设备配置合理，能满足项目需要的得（0.7-1]分，设备配置较合理，基本满足项目需要的得（0.3-0.7]分，设备配置不合理，不满足项目需要的得（0-0.3] 分。 （5）为保证本次项目售后服务的及时性和专业性，要求投标人具备本地化服务能力(提供有说服力的证明资料), 能提供证明资料得1分,不能提供不得分； 注：项目组成员不能重复出现，投标文件中须提供上述各种证书相关资料复印件及相关人员的社保证明文件（近6个月内任何一个月的社保证明）复印件加盖投标人公章。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自2021年以来，投标人具有类似业绩的（相关物联网建设或农业遥感应用），提供一个得2分，最高得 10分。 注：①业绩时间以中标通知书最终签署时间或合同签订时间为准； ②企业业绩以中标通知书或合同复印件为准；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①投标报价低于或等于采购预算价格的，为有效投标报价。超采购预算的投标报价为无效投标报价。无效投标报价的投标文件不进行评审。 ②在所有有效投标报价中满足招标文件要求，且投标报价最低的为评标基准价，其价格分为 30分，其他投标人的价格分按照下列公式计算（计算结果四舍五入保留两位小数)。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