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CD035">
      <w:pPr>
        <w:tabs>
          <w:tab w:val="left" w:pos="720"/>
        </w:tabs>
        <w:spacing w:line="360" w:lineRule="auto"/>
        <w:jc w:val="center"/>
        <w:rPr>
          <w:rFonts w:hint="default" w:ascii="宋体"/>
          <w:b/>
          <w:bCs/>
          <w:sz w:val="72"/>
          <w:szCs w:val="72"/>
        </w:rPr>
      </w:pPr>
    </w:p>
    <w:p w14:paraId="478FA134">
      <w:pPr>
        <w:tabs>
          <w:tab w:val="left" w:pos="720"/>
        </w:tabs>
        <w:spacing w:line="720" w:lineRule="auto"/>
        <w:jc w:val="center"/>
        <w:rPr>
          <w:rFonts w:hint="default" w:ascii="黑体" w:hAnsi="黑体" w:eastAsia="黑体" w:cs="黑体"/>
          <w:b/>
          <w:bCs/>
          <w:sz w:val="48"/>
          <w:szCs w:val="48"/>
        </w:rPr>
      </w:pPr>
      <w:r>
        <w:rPr>
          <w:rFonts w:ascii="黑体" w:hAnsi="黑体" w:eastAsia="黑体" w:cs="黑体"/>
          <w:b/>
          <w:bCs/>
          <w:sz w:val="48"/>
          <w:szCs w:val="48"/>
        </w:rPr>
        <w:t>西安市长安区人民法院</w:t>
      </w:r>
    </w:p>
    <w:p w14:paraId="6A33CE31">
      <w:pPr>
        <w:tabs>
          <w:tab w:val="left" w:pos="720"/>
        </w:tabs>
        <w:spacing w:line="720" w:lineRule="auto"/>
        <w:jc w:val="center"/>
        <w:rPr>
          <w:rFonts w:hint="default" w:ascii="黑体" w:hAnsi="黑体" w:eastAsia="黑体" w:cs="黑体"/>
          <w:b/>
          <w:bCs/>
          <w:sz w:val="52"/>
          <w:szCs w:val="52"/>
        </w:rPr>
      </w:pPr>
      <w:r>
        <w:rPr>
          <w:rFonts w:ascii="黑体" w:hAnsi="黑体" w:eastAsia="黑体" w:cs="黑体"/>
          <w:b/>
          <w:bCs/>
          <w:sz w:val="48"/>
          <w:szCs w:val="48"/>
        </w:rPr>
        <w:t>诉讼服务中心辅助服务外包项目</w:t>
      </w:r>
    </w:p>
    <w:p w14:paraId="0AD8BFA3">
      <w:pPr>
        <w:pStyle w:val="4"/>
        <w:rPr>
          <w:rFonts w:hint="default" w:ascii="黑体" w:hAnsi="黑体" w:eastAsia="黑体" w:cs="黑体"/>
          <w:sz w:val="52"/>
          <w:szCs w:val="52"/>
        </w:rPr>
      </w:pPr>
    </w:p>
    <w:p w14:paraId="0460E11B">
      <w:pPr>
        <w:tabs>
          <w:tab w:val="left" w:pos="720"/>
        </w:tabs>
        <w:spacing w:line="360" w:lineRule="auto"/>
        <w:jc w:val="center"/>
        <w:rPr>
          <w:rFonts w:hint="default" w:ascii="黑体" w:hAnsi="黑体" w:eastAsia="黑体" w:cs="黑体"/>
          <w:b/>
          <w:bCs/>
          <w:sz w:val="52"/>
          <w:szCs w:val="52"/>
        </w:rPr>
      </w:pPr>
      <w:r>
        <w:rPr>
          <w:rFonts w:ascii="黑体" w:hAnsi="黑体" w:eastAsia="黑体" w:cs="黑体"/>
          <w:b/>
          <w:bCs/>
          <w:sz w:val="52"/>
          <w:szCs w:val="52"/>
        </w:rPr>
        <w:t>合</w:t>
      </w:r>
    </w:p>
    <w:p w14:paraId="4AE0B0F2">
      <w:pPr>
        <w:tabs>
          <w:tab w:val="left" w:pos="720"/>
        </w:tabs>
        <w:spacing w:line="360" w:lineRule="auto"/>
        <w:jc w:val="center"/>
        <w:rPr>
          <w:rFonts w:hint="default" w:ascii="黑体" w:hAnsi="黑体" w:eastAsia="黑体" w:cs="黑体"/>
          <w:b/>
          <w:bCs/>
          <w:sz w:val="52"/>
          <w:szCs w:val="52"/>
        </w:rPr>
      </w:pPr>
    </w:p>
    <w:p w14:paraId="41F27900">
      <w:pPr>
        <w:tabs>
          <w:tab w:val="left" w:pos="720"/>
        </w:tabs>
        <w:spacing w:line="360" w:lineRule="auto"/>
        <w:jc w:val="center"/>
        <w:rPr>
          <w:rFonts w:hint="default" w:ascii="黑体" w:hAnsi="黑体" w:eastAsia="黑体" w:cs="黑体"/>
          <w:b/>
          <w:bCs/>
          <w:sz w:val="52"/>
          <w:szCs w:val="52"/>
        </w:rPr>
      </w:pPr>
      <w:r>
        <w:rPr>
          <w:rFonts w:ascii="黑体" w:hAnsi="黑体" w:eastAsia="黑体" w:cs="黑体"/>
          <w:b/>
          <w:bCs/>
          <w:sz w:val="52"/>
          <w:szCs w:val="52"/>
        </w:rPr>
        <w:t>同</w:t>
      </w:r>
    </w:p>
    <w:p w14:paraId="3590861B">
      <w:pPr>
        <w:tabs>
          <w:tab w:val="left" w:pos="720"/>
        </w:tabs>
        <w:spacing w:line="360" w:lineRule="auto"/>
        <w:jc w:val="center"/>
        <w:rPr>
          <w:rFonts w:hint="default" w:ascii="黑体" w:hAnsi="黑体" w:eastAsia="黑体" w:cs="黑体"/>
          <w:b/>
          <w:bCs/>
          <w:sz w:val="52"/>
          <w:szCs w:val="52"/>
        </w:rPr>
      </w:pPr>
    </w:p>
    <w:p w14:paraId="44C2B21E">
      <w:pPr>
        <w:tabs>
          <w:tab w:val="left" w:pos="720"/>
        </w:tabs>
        <w:spacing w:line="360" w:lineRule="auto"/>
        <w:jc w:val="center"/>
        <w:rPr>
          <w:rFonts w:hint="default" w:ascii="黑体" w:hAnsi="黑体" w:eastAsia="黑体" w:cs="黑体"/>
          <w:b/>
          <w:bCs/>
          <w:sz w:val="52"/>
          <w:szCs w:val="52"/>
        </w:rPr>
      </w:pPr>
      <w:r>
        <w:rPr>
          <w:rFonts w:ascii="黑体" w:hAnsi="黑体" w:eastAsia="黑体" w:cs="黑体"/>
          <w:b/>
          <w:bCs/>
          <w:sz w:val="52"/>
          <w:szCs w:val="52"/>
        </w:rPr>
        <w:t>书</w:t>
      </w:r>
    </w:p>
    <w:p w14:paraId="1F4ABF80">
      <w:pPr>
        <w:tabs>
          <w:tab w:val="left" w:pos="720"/>
        </w:tabs>
        <w:spacing w:line="360" w:lineRule="auto"/>
        <w:jc w:val="center"/>
        <w:rPr>
          <w:rFonts w:hint="default" w:ascii="宋体"/>
          <w:b/>
          <w:bCs/>
          <w:sz w:val="72"/>
          <w:szCs w:val="72"/>
        </w:rPr>
      </w:pPr>
    </w:p>
    <w:p w14:paraId="6BBF7BF3">
      <w:pPr>
        <w:pStyle w:val="2"/>
        <w:numPr>
          <w:ilvl w:val="1"/>
          <w:numId w:val="0"/>
        </w:numPr>
        <w:tabs>
          <w:tab w:val="left" w:pos="5790"/>
        </w:tabs>
        <w:jc w:val="both"/>
        <w:rPr>
          <w:rFonts w:hint="default"/>
        </w:rPr>
      </w:pPr>
      <w:r>
        <w:tab/>
      </w:r>
    </w:p>
    <w:tbl>
      <w:tblPr>
        <w:tblStyle w:val="13"/>
        <w:tblW w:w="6507" w:type="dxa"/>
        <w:jc w:val="center"/>
        <w:tblLayout w:type="fixed"/>
        <w:tblCellMar>
          <w:top w:w="0" w:type="dxa"/>
          <w:left w:w="108" w:type="dxa"/>
          <w:bottom w:w="0" w:type="dxa"/>
          <w:right w:w="108" w:type="dxa"/>
        </w:tblCellMar>
      </w:tblPr>
      <w:tblGrid>
        <w:gridCol w:w="6507"/>
      </w:tblGrid>
      <w:tr w14:paraId="5F74367E">
        <w:tblPrEx>
          <w:tblCellMar>
            <w:top w:w="0" w:type="dxa"/>
            <w:left w:w="108" w:type="dxa"/>
            <w:bottom w:w="0" w:type="dxa"/>
            <w:right w:w="108" w:type="dxa"/>
          </w:tblCellMar>
        </w:tblPrEx>
        <w:trPr>
          <w:trHeight w:val="446" w:hRule="atLeast"/>
          <w:jc w:val="center"/>
        </w:trPr>
        <w:tc>
          <w:tcPr>
            <w:tcW w:w="6507" w:type="dxa"/>
          </w:tcPr>
          <w:p w14:paraId="3E00743A">
            <w:pPr>
              <w:tabs>
                <w:tab w:val="left" w:pos="720"/>
              </w:tabs>
              <w:spacing w:line="360" w:lineRule="auto"/>
              <w:rPr>
                <w:rFonts w:hint="default" w:ascii="黑体" w:hAnsi="黑体" w:eastAsia="黑体" w:cs="黑体"/>
                <w:bCs/>
                <w:sz w:val="28"/>
                <w:szCs w:val="28"/>
              </w:rPr>
            </w:pPr>
            <w:r>
              <w:rPr>
                <w:rFonts w:ascii="黑体" w:hAnsi="黑体" w:eastAsia="黑体" w:cs="黑体"/>
                <w:b/>
                <w:sz w:val="28"/>
                <w:szCs w:val="28"/>
              </w:rPr>
              <w:t>项目编号：</w:t>
            </w:r>
            <w:r>
              <w:rPr>
                <w:rFonts w:ascii="黑体" w:hAnsi="黑体" w:eastAsia="黑体" w:cs="黑体"/>
                <w:b/>
                <w:sz w:val="28"/>
                <w:szCs w:val="28"/>
                <w:u w:val="single"/>
              </w:rPr>
              <w:t xml:space="preserve">                                 </w:t>
            </w:r>
          </w:p>
        </w:tc>
      </w:tr>
      <w:tr w14:paraId="50613EBC">
        <w:tblPrEx>
          <w:tblCellMar>
            <w:top w:w="0" w:type="dxa"/>
            <w:left w:w="108" w:type="dxa"/>
            <w:bottom w:w="0" w:type="dxa"/>
            <w:right w:w="108" w:type="dxa"/>
          </w:tblCellMar>
        </w:tblPrEx>
        <w:trPr>
          <w:trHeight w:val="446" w:hRule="atLeast"/>
          <w:jc w:val="center"/>
        </w:trPr>
        <w:tc>
          <w:tcPr>
            <w:tcW w:w="6507" w:type="dxa"/>
          </w:tcPr>
          <w:p w14:paraId="39C42029">
            <w:pPr>
              <w:tabs>
                <w:tab w:val="left" w:pos="720"/>
              </w:tabs>
              <w:spacing w:line="360" w:lineRule="auto"/>
              <w:ind w:left="1459" w:hanging="1459" w:hangingChars="519"/>
              <w:rPr>
                <w:rFonts w:hint="default" w:ascii="黑体" w:hAnsi="黑体" w:eastAsia="黑体" w:cs="黑体"/>
                <w:b/>
                <w:sz w:val="28"/>
                <w:szCs w:val="28"/>
              </w:rPr>
            </w:pPr>
            <w:r>
              <w:rPr>
                <w:rFonts w:ascii="黑体" w:hAnsi="黑体" w:eastAsia="黑体" w:cs="黑体"/>
                <w:b/>
                <w:sz w:val="28"/>
                <w:szCs w:val="28"/>
              </w:rPr>
              <w:t>项目名称：</w:t>
            </w:r>
            <w:r>
              <w:rPr>
                <w:rFonts w:ascii="黑体" w:hAnsi="黑体" w:eastAsia="黑体" w:cs="黑体"/>
                <w:b/>
                <w:sz w:val="28"/>
                <w:szCs w:val="28"/>
                <w:u w:val="single"/>
              </w:rPr>
              <w:t xml:space="preserve">                                 </w:t>
            </w:r>
          </w:p>
        </w:tc>
      </w:tr>
    </w:tbl>
    <w:p w14:paraId="70B622A5">
      <w:pPr>
        <w:tabs>
          <w:tab w:val="left" w:pos="720"/>
        </w:tabs>
        <w:spacing w:line="360" w:lineRule="auto"/>
        <w:rPr>
          <w:rFonts w:hint="default" w:ascii="宋体"/>
          <w:b/>
          <w:bCs/>
          <w:sz w:val="36"/>
          <w:szCs w:val="36"/>
        </w:rPr>
      </w:pPr>
    </w:p>
    <w:p w14:paraId="127FB292">
      <w:pPr>
        <w:pStyle w:val="4"/>
        <w:rPr>
          <w:rFonts w:hint="default"/>
        </w:rPr>
      </w:pPr>
    </w:p>
    <w:p w14:paraId="13B67D7A">
      <w:pPr>
        <w:spacing w:line="360" w:lineRule="auto"/>
        <w:jc w:val="center"/>
        <w:rPr>
          <w:rFonts w:hint="default" w:ascii="黑体" w:hAnsi="黑体" w:eastAsia="黑体" w:cs="黑体"/>
          <w:b/>
          <w:bCs/>
          <w:sz w:val="36"/>
          <w:szCs w:val="36"/>
        </w:rPr>
      </w:pPr>
    </w:p>
    <w:p w14:paraId="2EB59D06">
      <w:pPr>
        <w:spacing w:line="360" w:lineRule="auto"/>
        <w:jc w:val="left"/>
        <w:rPr>
          <w:rFonts w:hint="default" w:ascii="宋体" w:hAnsi="宋体" w:cs="宋体"/>
          <w:sz w:val="24"/>
          <w:szCs w:val="24"/>
        </w:rPr>
        <w:sectPr>
          <w:headerReference r:id="rId3" w:type="default"/>
          <w:pgSz w:w="11906" w:h="16838"/>
          <w:pgMar w:top="1417" w:right="1701" w:bottom="1417" w:left="1701" w:header="851" w:footer="992" w:gutter="0"/>
          <w:cols w:space="0" w:num="1"/>
          <w:docGrid w:type="lines" w:linePitch="312" w:charSpace="0"/>
        </w:sectPr>
      </w:pPr>
    </w:p>
    <w:p w14:paraId="6A020CE4">
      <w:pPr>
        <w:spacing w:line="360" w:lineRule="auto"/>
        <w:jc w:val="left"/>
        <w:rPr>
          <w:rFonts w:hint="default" w:ascii="宋体" w:hAnsi="宋体" w:cs="宋体"/>
          <w:szCs w:val="21"/>
        </w:rPr>
      </w:pPr>
      <w:r>
        <w:rPr>
          <w:rFonts w:ascii="宋体" w:hAnsi="宋体" w:cs="宋体"/>
          <w:szCs w:val="21"/>
        </w:rPr>
        <w:t>甲    方：</w:t>
      </w:r>
      <w:r>
        <w:rPr>
          <w:rFonts w:ascii="宋体" w:hAnsi="宋体" w:cs="宋体"/>
          <w:szCs w:val="21"/>
          <w:u w:val="single"/>
        </w:rPr>
        <w:t>西安市长安区人民法院</w:t>
      </w:r>
      <w:r>
        <w:rPr>
          <w:rFonts w:ascii="宋体" w:hAnsi="宋体" w:cs="宋体"/>
          <w:szCs w:val="21"/>
        </w:rPr>
        <w:t>（委托方）</w:t>
      </w:r>
    </w:p>
    <w:p w14:paraId="0F367EB1">
      <w:pPr>
        <w:spacing w:line="360" w:lineRule="auto"/>
        <w:jc w:val="left"/>
        <w:rPr>
          <w:rFonts w:hint="default" w:ascii="宋体" w:hAnsi="宋体" w:cs="宋体"/>
          <w:szCs w:val="21"/>
        </w:rPr>
      </w:pPr>
      <w:r>
        <w:rPr>
          <w:rFonts w:ascii="宋体" w:hAnsi="宋体" w:cs="宋体"/>
          <w:szCs w:val="21"/>
        </w:rPr>
        <w:t>地  址：</w:t>
      </w:r>
      <w:r>
        <w:rPr>
          <w:rFonts w:ascii="宋体" w:hAnsi="宋体" w:cs="宋体"/>
          <w:szCs w:val="21"/>
          <w:u w:val="single"/>
        </w:rPr>
        <w:t>陕西省西安市长安区西长安街141号</w:t>
      </w:r>
    </w:p>
    <w:p w14:paraId="0B176F74">
      <w:pPr>
        <w:spacing w:line="360" w:lineRule="auto"/>
        <w:jc w:val="left"/>
        <w:rPr>
          <w:rFonts w:hint="default" w:ascii="黑体" w:hAnsi="黑体" w:eastAsia="黑体" w:cs="黑体"/>
          <w:b/>
          <w:bCs/>
          <w:szCs w:val="21"/>
        </w:rPr>
      </w:pPr>
    </w:p>
    <w:p w14:paraId="01817A5E">
      <w:pPr>
        <w:spacing w:line="360" w:lineRule="auto"/>
        <w:jc w:val="left"/>
        <w:rPr>
          <w:rFonts w:hint="default" w:ascii="宋体" w:hAnsi="宋体" w:cs="宋体"/>
          <w:szCs w:val="21"/>
        </w:rPr>
      </w:pPr>
      <w:r>
        <w:rPr>
          <w:rFonts w:ascii="宋体" w:hAnsi="宋体" w:cs="宋体"/>
          <w:szCs w:val="21"/>
        </w:rPr>
        <w:t>乙    方：</w:t>
      </w:r>
      <w:r>
        <w:rPr>
          <w:rFonts w:ascii="宋体" w:hAnsi="宋体" w:cs="宋体"/>
          <w:szCs w:val="21"/>
          <w:u w:val="single"/>
        </w:rPr>
        <w:t xml:space="preserve">                     </w:t>
      </w:r>
      <w:r>
        <w:rPr>
          <w:rFonts w:ascii="宋体" w:hAnsi="宋体" w:cs="宋体"/>
          <w:szCs w:val="21"/>
        </w:rPr>
        <w:t>（受托方）</w:t>
      </w:r>
    </w:p>
    <w:p w14:paraId="17F885A4">
      <w:pPr>
        <w:spacing w:line="360" w:lineRule="auto"/>
        <w:ind w:left="1050" w:hanging="1050" w:hangingChars="500"/>
        <w:jc w:val="left"/>
        <w:rPr>
          <w:rFonts w:hint="default" w:ascii="宋体" w:hAnsi="宋体" w:cs="宋体"/>
          <w:szCs w:val="21"/>
          <w:u w:val="single"/>
        </w:rPr>
      </w:pPr>
      <w:r>
        <w:rPr>
          <w:rFonts w:ascii="宋体" w:hAnsi="宋体" w:cs="宋体"/>
          <w:szCs w:val="21"/>
        </w:rPr>
        <w:t>地    址：</w:t>
      </w:r>
      <w:r>
        <w:rPr>
          <w:rFonts w:ascii="宋体" w:hAnsi="宋体" w:cs="宋体"/>
          <w:szCs w:val="21"/>
          <w:u w:val="single"/>
        </w:rPr>
        <w:t xml:space="preserve">                                                         </w:t>
      </w:r>
    </w:p>
    <w:p w14:paraId="3D10DFA8">
      <w:pPr>
        <w:pStyle w:val="4"/>
        <w:spacing w:line="360" w:lineRule="auto"/>
        <w:rPr>
          <w:rFonts w:hint="default" w:ascii="宋体" w:hAnsi="宋体" w:cs="宋体"/>
          <w:szCs w:val="21"/>
        </w:rPr>
      </w:pPr>
    </w:p>
    <w:p w14:paraId="42014535">
      <w:pPr>
        <w:spacing w:line="360" w:lineRule="auto"/>
        <w:ind w:firstLine="420" w:firstLineChars="200"/>
        <w:rPr>
          <w:rFonts w:hint="default"/>
        </w:rPr>
      </w:pPr>
      <w:r>
        <w:rPr>
          <w:rFonts w:ascii="宋体" w:hAnsi="宋体" w:cs="宋体"/>
          <w:szCs w:val="21"/>
        </w:rPr>
        <w:t>根据项目的采购结果，按照中华人民共和国相关法律法规规定，本着平等互利诚实信用的原则，经双方协商一致，同意签订本合同，具体约定如下:</w:t>
      </w:r>
    </w:p>
    <w:p w14:paraId="48BFECBD">
      <w:pPr>
        <w:widowControl/>
        <w:numPr>
          <w:ilvl w:val="0"/>
          <w:numId w:val="2"/>
        </w:numPr>
        <w:tabs>
          <w:tab w:val="left" w:pos="709"/>
          <w:tab w:val="left" w:pos="992"/>
        </w:tabs>
        <w:spacing w:line="360" w:lineRule="auto"/>
        <w:ind w:firstLine="422" w:firstLineChars="200"/>
        <w:jc w:val="left"/>
        <w:rPr>
          <w:rFonts w:hint="default" w:ascii="仿宋" w:hAnsi="仿宋" w:eastAsia="仿宋" w:cs="仿宋"/>
          <w:b/>
          <w:bCs/>
          <w:szCs w:val="21"/>
        </w:rPr>
      </w:pPr>
      <w:r>
        <w:rPr>
          <w:rFonts w:ascii="宋体" w:hAnsi="宋体" w:cs="宋体"/>
          <w:b/>
          <w:bCs/>
          <w:color w:val="000000"/>
          <w:kern w:val="0"/>
          <w:szCs w:val="21"/>
        </w:rPr>
        <w:t>服务期限</w:t>
      </w:r>
    </w:p>
    <w:p w14:paraId="6B58CB64">
      <w:pPr>
        <w:numPr>
          <w:ilvl w:val="0"/>
          <w:numId w:val="3"/>
        </w:numPr>
        <w:tabs>
          <w:tab w:val="left" w:pos="658"/>
        </w:tabs>
        <w:spacing w:line="360" w:lineRule="auto"/>
        <w:ind w:firstLine="420" w:firstLineChars="200"/>
        <w:jc w:val="left"/>
        <w:rPr>
          <w:rFonts w:hint="default" w:asciiTheme="minorEastAsia" w:hAnsiTheme="minorEastAsia" w:eastAsiaTheme="minorEastAsia" w:cstheme="minorEastAsia"/>
          <w:szCs w:val="21"/>
          <w:highlight w:val="none"/>
        </w:rPr>
      </w:pPr>
      <w:r>
        <w:rPr>
          <w:rFonts w:asciiTheme="minorEastAsia" w:hAnsiTheme="minorEastAsia" w:eastAsiaTheme="minorEastAsia" w:cstheme="minorEastAsia"/>
          <w:szCs w:val="21"/>
          <w:highlight w:val="none"/>
        </w:rPr>
        <w:t>服务期限：202</w:t>
      </w:r>
      <w:r>
        <w:rPr>
          <w:rFonts w:hint="eastAsia" w:asciiTheme="minorEastAsia" w:hAnsiTheme="minorEastAsia" w:eastAsiaTheme="minorEastAsia" w:cstheme="minorEastAsia"/>
          <w:szCs w:val="21"/>
          <w:highlight w:val="none"/>
          <w:lang w:val="en-US" w:eastAsia="zh-CN"/>
        </w:rPr>
        <w:t>5</w:t>
      </w:r>
      <w:r>
        <w:rPr>
          <w:rFonts w:asciiTheme="minorEastAsia" w:hAnsiTheme="minorEastAsia" w:eastAsiaTheme="minorEastAsia" w:cstheme="minorEastAsia"/>
          <w:szCs w:val="21"/>
          <w:highlight w:val="none"/>
        </w:rPr>
        <w:t>年</w:t>
      </w:r>
      <w:r>
        <w:rPr>
          <w:rFonts w:hint="eastAsia" w:asciiTheme="minorEastAsia" w:hAnsiTheme="minorEastAsia" w:eastAsiaTheme="minorEastAsia" w:cstheme="minorEastAsia"/>
          <w:szCs w:val="21"/>
          <w:highlight w:val="none"/>
          <w:u w:val="single"/>
          <w:lang w:val="en-US" w:eastAsia="zh-CN"/>
        </w:rPr>
        <w:t xml:space="preserve">    </w:t>
      </w:r>
      <w:r>
        <w:rPr>
          <w:rFonts w:asciiTheme="minorEastAsia" w:hAnsiTheme="minorEastAsia" w:eastAsiaTheme="minorEastAsia" w:cstheme="minorEastAsia"/>
          <w:szCs w:val="21"/>
          <w:highlight w:val="none"/>
        </w:rPr>
        <w:t>月</w:t>
      </w:r>
      <w:r>
        <w:rPr>
          <w:rFonts w:hint="eastAsia" w:asciiTheme="minorEastAsia" w:hAnsiTheme="minorEastAsia" w:eastAsiaTheme="minorEastAsia" w:cstheme="minorEastAsia"/>
          <w:szCs w:val="21"/>
          <w:highlight w:val="none"/>
          <w:u w:val="single"/>
          <w:lang w:val="en-US" w:eastAsia="zh-CN"/>
        </w:rPr>
        <w:t xml:space="preserve">     </w:t>
      </w:r>
      <w:r>
        <w:rPr>
          <w:rFonts w:hint="eastAsia" w:asciiTheme="minorEastAsia" w:hAnsiTheme="minorEastAsia" w:eastAsiaTheme="minorEastAsia" w:cstheme="minorEastAsia"/>
          <w:szCs w:val="21"/>
          <w:highlight w:val="none"/>
          <w:u w:val="single"/>
          <w:lang w:val="en-US" w:eastAsia="zh-CN"/>
        </w:rPr>
        <w:t xml:space="preserve"> </w:t>
      </w:r>
      <w:r>
        <w:rPr>
          <w:rFonts w:asciiTheme="minorEastAsia" w:hAnsiTheme="minorEastAsia" w:eastAsiaTheme="minorEastAsia" w:cstheme="minorEastAsia"/>
          <w:szCs w:val="21"/>
          <w:highlight w:val="none"/>
        </w:rPr>
        <w:t>日至202</w:t>
      </w:r>
      <w:r>
        <w:rPr>
          <w:rFonts w:hint="eastAsia" w:asciiTheme="minorEastAsia" w:hAnsiTheme="minorEastAsia" w:eastAsiaTheme="minorEastAsia" w:cstheme="minorEastAsia"/>
          <w:szCs w:val="21"/>
          <w:highlight w:val="none"/>
          <w:lang w:val="en-US" w:eastAsia="zh-CN"/>
        </w:rPr>
        <w:t>6</w:t>
      </w:r>
      <w:r>
        <w:rPr>
          <w:rFonts w:asciiTheme="minorEastAsia" w:hAnsiTheme="minorEastAsia" w:eastAsiaTheme="minorEastAsia" w:cstheme="minorEastAsia"/>
          <w:szCs w:val="21"/>
          <w:highlight w:val="none"/>
        </w:rPr>
        <w:t>年</w:t>
      </w:r>
      <w:r>
        <w:rPr>
          <w:rFonts w:hint="eastAsia" w:asciiTheme="minorEastAsia" w:hAnsiTheme="minorEastAsia" w:eastAsiaTheme="minorEastAsia" w:cstheme="minorEastAsia"/>
          <w:szCs w:val="21"/>
          <w:highlight w:val="none"/>
          <w:u w:val="single"/>
          <w:lang w:val="en-US" w:eastAsia="zh-CN"/>
        </w:rPr>
        <w:t xml:space="preserve">    </w:t>
      </w:r>
      <w:r>
        <w:rPr>
          <w:rFonts w:asciiTheme="minorEastAsia" w:hAnsiTheme="minorEastAsia" w:eastAsiaTheme="minorEastAsia" w:cstheme="minorEastAsia"/>
          <w:szCs w:val="21"/>
          <w:highlight w:val="none"/>
        </w:rPr>
        <w:t>月</w:t>
      </w:r>
      <w:r>
        <w:rPr>
          <w:rFonts w:hint="eastAsia" w:asciiTheme="minorEastAsia" w:hAnsiTheme="minorEastAsia" w:eastAsiaTheme="minorEastAsia" w:cstheme="minorEastAsia"/>
          <w:szCs w:val="21"/>
          <w:highlight w:val="none"/>
          <w:u w:val="single"/>
          <w:lang w:val="en-US" w:eastAsia="zh-CN"/>
        </w:rPr>
        <w:t xml:space="preserve">     </w:t>
      </w:r>
      <w:r>
        <w:rPr>
          <w:rFonts w:asciiTheme="minorEastAsia" w:hAnsiTheme="minorEastAsia" w:eastAsiaTheme="minorEastAsia" w:cstheme="minorEastAsia"/>
          <w:szCs w:val="21"/>
          <w:highlight w:val="none"/>
        </w:rPr>
        <w:t xml:space="preserve">日 </w:t>
      </w:r>
    </w:p>
    <w:p w14:paraId="26D446FF">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rPr>
      </w:pPr>
      <w:r>
        <w:rPr>
          <w:rFonts w:ascii="宋体" w:hAnsi="宋体" w:cs="宋体"/>
          <w:b/>
          <w:bCs/>
          <w:color w:val="000000"/>
          <w:kern w:val="0"/>
          <w:szCs w:val="21"/>
        </w:rPr>
        <w:t>合同金额</w:t>
      </w:r>
    </w:p>
    <w:p w14:paraId="42ED1EA0">
      <w:pPr>
        <w:numPr>
          <w:ilvl w:val="0"/>
          <w:numId w:val="4"/>
        </w:numPr>
        <w:tabs>
          <w:tab w:val="left" w:pos="658"/>
          <w:tab w:val="clear" w:pos="0"/>
        </w:tabs>
        <w:spacing w:line="360" w:lineRule="auto"/>
        <w:jc w:val="left"/>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highlight w:val="none"/>
        </w:rPr>
        <w:t>合同总金额：</w:t>
      </w:r>
      <w:r>
        <w:rPr>
          <w:rFonts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u w:val="single"/>
          <w:lang w:val="en-US" w:eastAsia="zh-CN"/>
        </w:rPr>
        <w:t xml:space="preserve">     </w:t>
      </w:r>
      <w:r>
        <w:rPr>
          <w:rFonts w:asciiTheme="minorEastAsia" w:hAnsiTheme="minorEastAsia" w:eastAsiaTheme="minorEastAsia" w:cstheme="minorEastAsia"/>
          <w:szCs w:val="21"/>
          <w:highlight w:val="none"/>
          <w:u w:val="single"/>
        </w:rPr>
        <w:t xml:space="preserve"> </w:t>
      </w:r>
      <w:r>
        <w:rPr>
          <w:rFonts w:asciiTheme="minorEastAsia" w:hAnsiTheme="minorEastAsia" w:eastAsiaTheme="minorEastAsia" w:cstheme="minorEastAsia"/>
          <w:szCs w:val="21"/>
          <w:highlight w:val="none"/>
        </w:rPr>
        <w:t>元（大写：</w:t>
      </w:r>
      <w:r>
        <w:rPr>
          <w:rFonts w:asciiTheme="minorEastAsia" w:hAnsiTheme="minorEastAsia" w:eastAsiaTheme="minorEastAsia" w:cstheme="minorEastAsia"/>
          <w:szCs w:val="21"/>
          <w:highlight w:val="none"/>
          <w:u w:val="single"/>
        </w:rPr>
        <w:t xml:space="preserve">                </w:t>
      </w:r>
      <w:r>
        <w:rPr>
          <w:rFonts w:asciiTheme="minorEastAsia" w:hAnsiTheme="minorEastAsia" w:eastAsiaTheme="minorEastAsia" w:cstheme="minorEastAsia"/>
          <w:szCs w:val="21"/>
          <w:highlight w:val="none"/>
        </w:rPr>
        <w:t>），合同总金额应包括：乙方</w:t>
      </w:r>
      <w:r>
        <w:rPr>
          <w:rFonts w:ascii="宋体" w:hAnsi="宋体"/>
          <w:szCs w:val="21"/>
          <w:highlight w:val="none"/>
        </w:rPr>
        <w:t>完成本项目所需的直接费、间接费、利润、税金及其它相关的一切费用。包括但不限于：人员工资、社保费、医保费、管理费、利润和税金等全部费用。在提供服务的过程中的任何遗漏，</w:t>
      </w:r>
      <w:r>
        <w:rPr>
          <w:rFonts w:ascii="宋体" w:hAnsi="宋体"/>
          <w:szCs w:val="21"/>
        </w:rPr>
        <w:t>均由乙方免费提供，甲方将不再支付任何费用。</w:t>
      </w:r>
    </w:p>
    <w:p w14:paraId="1AE4469C">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rPr>
      </w:pPr>
      <w:r>
        <w:rPr>
          <w:rFonts w:ascii="宋体" w:hAnsi="宋体" w:cs="宋体"/>
          <w:b/>
          <w:bCs/>
          <w:color w:val="000000"/>
          <w:kern w:val="0"/>
          <w:szCs w:val="21"/>
        </w:rPr>
        <w:t xml:space="preserve">  付款方式 </w:t>
      </w:r>
    </w:p>
    <w:p w14:paraId="30FB4C77">
      <w:pPr>
        <w:numPr>
          <w:ilvl w:val="0"/>
          <w:numId w:val="5"/>
        </w:numPr>
        <w:tabs>
          <w:tab w:val="left" w:pos="658"/>
          <w:tab w:val="clear" w:pos="0"/>
        </w:tabs>
        <w:spacing w:line="360" w:lineRule="auto"/>
        <w:ind w:firstLine="420" w:firstLineChars="200"/>
        <w:jc w:val="left"/>
        <w:rPr>
          <w:rFonts w:hint="default" w:asciiTheme="minorEastAsia" w:hAnsiTheme="minorEastAsia" w:eastAsiaTheme="minorEastAsia" w:cstheme="minorEastAsia"/>
          <w:color w:val="0C0C0C" w:themeColor="text1" w:themeTint="F2"/>
          <w:szCs w:val="21"/>
        </w:rPr>
      </w:pPr>
      <w:r>
        <w:rPr>
          <w:rFonts w:asciiTheme="minorEastAsia" w:hAnsiTheme="minorEastAsia" w:eastAsiaTheme="minorEastAsia" w:cstheme="minorEastAsia"/>
          <w:color w:val="0C0C0C" w:themeColor="text1" w:themeTint="F2"/>
          <w:szCs w:val="21"/>
        </w:rPr>
        <w:t>双方经协商一致，约定按照每月实际上岗人数和考勤情况，于次月15日前结算费用。具体支付内容如下：</w:t>
      </w:r>
      <w:r>
        <w:rPr>
          <w:rFonts w:hint="default" w:asciiTheme="minorEastAsia" w:hAnsiTheme="minorEastAsia" w:eastAsiaTheme="minorEastAsia" w:cstheme="minorEastAsia"/>
          <w:color w:val="0C0C0C" w:themeColor="text1" w:themeTint="F2"/>
          <w:szCs w:val="21"/>
        </w:rPr>
        <w:t xml:space="preserve"> </w:t>
      </w:r>
    </w:p>
    <w:p w14:paraId="2EB593FA">
      <w:pPr>
        <w:pStyle w:val="28"/>
        <w:rPr>
          <w:rFonts w:hint="default" w:asciiTheme="minorEastAsia" w:hAnsiTheme="minorEastAsia" w:eastAsiaTheme="minorEastAsia" w:cstheme="minorEastAsia"/>
          <w:color w:val="0C0C0C" w:themeColor="text1" w:themeTint="F2"/>
          <w:kern w:val="2"/>
          <w:sz w:val="21"/>
          <w:szCs w:val="21"/>
          <w:lang w:val="en-US" w:eastAsia="zh-CN" w:bidi="ar-SA"/>
        </w:rPr>
      </w:pPr>
      <w:r>
        <w:rPr>
          <w:rFonts w:hint="eastAsia" w:asciiTheme="minorEastAsia" w:hAnsiTheme="minorEastAsia" w:eastAsiaTheme="minorEastAsia" w:cstheme="minorEastAsia"/>
          <w:color w:val="0C0C0C" w:themeColor="text1" w:themeTint="F2"/>
          <w:kern w:val="2"/>
          <w:sz w:val="21"/>
          <w:szCs w:val="21"/>
          <w:lang w:val="en-US" w:eastAsia="zh-CN" w:bidi="ar-SA"/>
        </w:rPr>
        <w:t xml:space="preserve"> </w:t>
      </w:r>
      <w:r>
        <w:rPr>
          <w:rFonts w:hint="eastAsia" w:asciiTheme="minorEastAsia" w:hAnsiTheme="minorEastAsia" w:cstheme="minorEastAsia"/>
          <w:color w:val="0C0C0C" w:themeColor="text1" w:themeTint="F2"/>
          <w:kern w:val="2"/>
          <w:sz w:val="21"/>
          <w:szCs w:val="21"/>
          <w:lang w:val="en-US" w:eastAsia="zh-CN" w:bidi="ar-SA"/>
        </w:rPr>
        <w:t xml:space="preserve">  </w:t>
      </w:r>
      <w:r>
        <w:rPr>
          <w:rFonts w:hint="eastAsia" w:asciiTheme="minorEastAsia" w:hAnsiTheme="minorEastAsia" w:eastAsiaTheme="minorEastAsia" w:cstheme="minorEastAsia"/>
          <w:color w:val="0C0C0C" w:themeColor="text1" w:themeTint="F2"/>
          <w:kern w:val="2"/>
          <w:sz w:val="21"/>
          <w:szCs w:val="21"/>
          <w:lang w:val="en-US" w:eastAsia="zh-CN" w:bidi="ar-SA"/>
        </w:rPr>
        <w:t>付款条件说明： 按乙方每月实际外派人数及考勤情况，次月支付费用。 达到付款条件起 7 日内，支付当月金额。</w:t>
      </w:r>
    </w:p>
    <w:p w14:paraId="1AAB44B2">
      <w:pPr>
        <w:numPr>
          <w:ilvl w:val="0"/>
          <w:numId w:val="5"/>
        </w:numPr>
        <w:shd w:val="clear"/>
        <w:tabs>
          <w:tab w:val="left" w:pos="658"/>
          <w:tab w:val="clear" w:pos="0"/>
        </w:tabs>
        <w:spacing w:line="360" w:lineRule="auto"/>
        <w:ind w:firstLine="420" w:firstLineChars="200"/>
        <w:jc w:val="left"/>
        <w:rPr>
          <w:rFonts w:hint="default"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乙方应合理配置相关服务人员，合同签订之日至2026年</w:t>
      </w:r>
      <w:r>
        <w:rPr>
          <w:rFonts w:hint="eastAsia" w:asciiTheme="minorEastAsia" w:hAnsiTheme="minorEastAsia" w:eastAsiaTheme="minorEastAsia" w:cstheme="minorEastAsia"/>
          <w:szCs w:val="21"/>
          <w:highlight w:val="none"/>
          <w:u w:val="single"/>
          <w:lang w:val="en-US" w:eastAsia="zh-CN"/>
        </w:rPr>
        <w:t xml:space="preserve"> </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月</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u w:val="single"/>
          <w:lang w:val="en-US" w:eastAsia="zh-CN"/>
        </w:rPr>
        <w:t xml:space="preserve"> </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日，每月须至少配备23人，每天必须保障23人在岗</w:t>
      </w:r>
      <w:r>
        <w:rPr>
          <w:rFonts w:asciiTheme="minorEastAsia" w:hAnsiTheme="minorEastAsia" w:eastAsiaTheme="minorEastAsia" w:cstheme="minorEastAsia"/>
          <w:szCs w:val="21"/>
          <w:highlight w:val="none"/>
        </w:rPr>
        <w:t>。如乙方工作人员连续请假3天（含3天）及以上，则按人数每天扣除合同金额230元；如乙方工作人员与当事人发生冲突，按照情节及影响不同，每次扣除合同金额100-500元不等。</w:t>
      </w:r>
    </w:p>
    <w:p w14:paraId="689F36CE">
      <w:pPr>
        <w:numPr>
          <w:ilvl w:val="0"/>
          <w:numId w:val="5"/>
        </w:numPr>
        <w:shd w:val="clear"/>
        <w:tabs>
          <w:tab w:val="left" w:pos="658"/>
          <w:tab w:val="clear" w:pos="0"/>
        </w:tabs>
        <w:spacing w:line="360" w:lineRule="auto"/>
        <w:ind w:firstLine="420" w:firstLineChars="200"/>
        <w:jc w:val="left"/>
        <w:rPr>
          <w:rFonts w:hint="default" w:asciiTheme="minorEastAsia" w:hAnsiTheme="minorEastAsia" w:eastAsiaTheme="minorEastAsia" w:cstheme="minorEastAsia"/>
          <w:szCs w:val="21"/>
          <w:highlight w:val="none"/>
        </w:rPr>
      </w:pPr>
      <w:r>
        <w:rPr>
          <w:rFonts w:asciiTheme="minorEastAsia" w:hAnsiTheme="minorEastAsia" w:eastAsiaTheme="minorEastAsia" w:cstheme="minorEastAsia"/>
          <w:szCs w:val="21"/>
          <w:highlight w:val="none"/>
        </w:rPr>
        <w:t>每次支付前由乙方开具合法有效的发票，甲方收到发票核对无误后在约定时间内完成支付。</w:t>
      </w:r>
    </w:p>
    <w:p w14:paraId="43695B35">
      <w:pPr>
        <w:numPr>
          <w:ilvl w:val="0"/>
          <w:numId w:val="5"/>
        </w:numPr>
        <w:shd w:val="clear"/>
        <w:tabs>
          <w:tab w:val="left" w:pos="658"/>
          <w:tab w:val="clear" w:pos="0"/>
        </w:tabs>
        <w:spacing w:line="360" w:lineRule="auto"/>
        <w:ind w:firstLine="420" w:firstLineChars="200"/>
        <w:jc w:val="left"/>
        <w:rPr>
          <w:rFonts w:hint="default" w:asciiTheme="minorEastAsia" w:hAnsiTheme="minorEastAsia" w:eastAsiaTheme="minorEastAsia" w:cstheme="minorEastAsia"/>
          <w:szCs w:val="21"/>
          <w:highlight w:val="none"/>
        </w:rPr>
      </w:pPr>
      <w:r>
        <w:rPr>
          <w:rFonts w:asciiTheme="minorEastAsia" w:hAnsiTheme="minorEastAsia" w:eastAsiaTheme="minorEastAsia" w:cstheme="minorEastAsia"/>
          <w:szCs w:val="21"/>
          <w:highlight w:val="none"/>
        </w:rPr>
        <w:t>双方账款往来采用指定银行账户转账方式办理，如有变更修改，以书面通知为准。指定收款账户如下:</w:t>
      </w:r>
    </w:p>
    <w:p w14:paraId="7C2E6A2F">
      <w:pPr>
        <w:pStyle w:val="4"/>
        <w:numPr>
          <w:ilvl w:val="255"/>
          <w:numId w:val="0"/>
        </w:numPr>
        <w:shd w:val="clear"/>
        <w:spacing w:line="360" w:lineRule="auto"/>
        <w:ind w:firstLine="630" w:firstLineChars="300"/>
        <w:rPr>
          <w:rFonts w:hint="default" w:asciiTheme="minorEastAsia" w:hAnsiTheme="minorEastAsia" w:eastAsiaTheme="minorEastAsia" w:cstheme="minorEastAsia"/>
          <w:color w:val="auto"/>
          <w:kern w:val="2"/>
          <w:szCs w:val="21"/>
          <w:highlight w:val="none"/>
        </w:rPr>
      </w:pPr>
      <w:r>
        <w:rPr>
          <w:rFonts w:asciiTheme="minorEastAsia" w:hAnsiTheme="minorEastAsia" w:eastAsiaTheme="minorEastAsia" w:cstheme="minorEastAsia"/>
          <w:color w:val="auto"/>
          <w:kern w:val="2"/>
          <w:szCs w:val="21"/>
          <w:highlight w:val="none"/>
        </w:rPr>
        <w:t xml:space="preserve">收款户名: </w:t>
      </w:r>
    </w:p>
    <w:p w14:paraId="46A1FFCA">
      <w:pPr>
        <w:pStyle w:val="4"/>
        <w:numPr>
          <w:ilvl w:val="255"/>
          <w:numId w:val="0"/>
        </w:numPr>
        <w:shd w:val="clear"/>
        <w:spacing w:line="360" w:lineRule="auto"/>
        <w:ind w:firstLine="630" w:firstLineChars="300"/>
        <w:rPr>
          <w:rFonts w:hint="default" w:asciiTheme="minorEastAsia" w:hAnsiTheme="minorEastAsia" w:eastAsiaTheme="minorEastAsia" w:cstheme="minorEastAsia"/>
          <w:color w:val="auto"/>
          <w:kern w:val="2"/>
          <w:szCs w:val="21"/>
          <w:highlight w:val="none"/>
        </w:rPr>
      </w:pPr>
      <w:r>
        <w:rPr>
          <w:rFonts w:asciiTheme="minorEastAsia" w:hAnsiTheme="minorEastAsia" w:eastAsiaTheme="minorEastAsia" w:cstheme="minorEastAsia"/>
          <w:color w:val="auto"/>
          <w:kern w:val="2"/>
          <w:szCs w:val="21"/>
          <w:highlight w:val="none"/>
        </w:rPr>
        <w:t>收款银行:</w:t>
      </w:r>
      <w:r>
        <w:rPr>
          <w:rFonts w:hint="default" w:asciiTheme="minorEastAsia" w:hAnsiTheme="minorEastAsia" w:eastAsiaTheme="minorEastAsia" w:cstheme="minorEastAsia"/>
          <w:color w:val="auto"/>
          <w:kern w:val="2"/>
          <w:szCs w:val="21"/>
          <w:highlight w:val="none"/>
        </w:rPr>
        <w:t xml:space="preserve"> </w:t>
      </w:r>
    </w:p>
    <w:p w14:paraId="526B13B0">
      <w:pPr>
        <w:pStyle w:val="4"/>
        <w:numPr>
          <w:ilvl w:val="255"/>
          <w:numId w:val="0"/>
        </w:numPr>
        <w:spacing w:line="360" w:lineRule="auto"/>
        <w:ind w:firstLine="630" w:firstLineChars="300"/>
        <w:rPr>
          <w:rFonts w:asciiTheme="minorEastAsia" w:hAnsiTheme="minorEastAsia" w:eastAsiaTheme="minorEastAsia" w:cstheme="minorEastAsia"/>
          <w:color w:val="auto"/>
          <w:kern w:val="2"/>
          <w:szCs w:val="21"/>
          <w:highlight w:val="none"/>
        </w:rPr>
      </w:pPr>
      <w:bookmarkStart w:id="0" w:name="_GoBack"/>
      <w:r>
        <w:rPr>
          <w:rFonts w:asciiTheme="minorEastAsia" w:hAnsiTheme="minorEastAsia" w:eastAsiaTheme="minorEastAsia" w:cstheme="minorEastAsia"/>
          <w:color w:val="auto"/>
          <w:kern w:val="2"/>
          <w:szCs w:val="21"/>
          <w:highlight w:val="none"/>
        </w:rPr>
        <w:t>收款账号:</w:t>
      </w:r>
    </w:p>
    <w:p w14:paraId="25875C39">
      <w:pPr>
        <w:pStyle w:val="4"/>
        <w:numPr>
          <w:ilvl w:val="255"/>
          <w:numId w:val="0"/>
        </w:numPr>
        <w:spacing w:line="360" w:lineRule="auto"/>
        <w:ind w:firstLine="630" w:firstLineChars="300"/>
        <w:rPr>
          <w:rFonts w:hint="default" w:asciiTheme="minorEastAsia" w:hAnsiTheme="minorEastAsia" w:eastAsiaTheme="minorEastAsia" w:cstheme="minorEastAsia"/>
          <w:szCs w:val="21"/>
          <w:highlight w:val="none"/>
        </w:rPr>
      </w:pPr>
      <w:r>
        <w:rPr>
          <w:rFonts w:asciiTheme="minorEastAsia" w:hAnsiTheme="minorEastAsia" w:eastAsiaTheme="minorEastAsia" w:cstheme="minorEastAsia"/>
          <w:szCs w:val="21"/>
          <w:highlight w:val="none"/>
        </w:rPr>
        <w:t>甲方指定开票资料信息如下:</w:t>
      </w:r>
    </w:p>
    <w:p w14:paraId="002F907E">
      <w:pPr>
        <w:pStyle w:val="4"/>
        <w:numPr>
          <w:ilvl w:val="255"/>
          <w:numId w:val="0"/>
        </w:numPr>
        <w:spacing w:line="360" w:lineRule="auto"/>
        <w:ind w:firstLine="630" w:firstLineChars="300"/>
        <w:rPr>
          <w:rFonts w:hint="default" w:ascii="宋体" w:hAnsi="宋体" w:cs="宋体"/>
          <w:bCs/>
          <w:szCs w:val="21"/>
          <w:highlight w:val="none"/>
        </w:rPr>
      </w:pPr>
      <w:r>
        <w:rPr>
          <w:rFonts w:ascii="宋体" w:hAnsi="宋体" w:cs="宋体"/>
          <w:bCs/>
          <w:szCs w:val="21"/>
          <w:highlight w:val="none"/>
        </w:rPr>
        <w:t>名称:西安市长安区人民法院</w:t>
      </w:r>
    </w:p>
    <w:p w14:paraId="2EEDC141">
      <w:pPr>
        <w:pStyle w:val="4"/>
        <w:numPr>
          <w:ilvl w:val="255"/>
          <w:numId w:val="0"/>
        </w:numPr>
        <w:spacing w:line="360" w:lineRule="auto"/>
        <w:ind w:firstLine="630" w:firstLineChars="300"/>
        <w:rPr>
          <w:rFonts w:hint="default" w:ascii="宋体" w:hAnsi="宋体" w:cs="宋体"/>
          <w:bCs/>
          <w:szCs w:val="21"/>
          <w:highlight w:val="none"/>
        </w:rPr>
      </w:pPr>
      <w:r>
        <w:rPr>
          <w:rFonts w:ascii="宋体" w:hAnsi="宋体" w:cs="宋体"/>
          <w:color w:val="auto"/>
          <w:kern w:val="2"/>
          <w:szCs w:val="21"/>
          <w:highlight w:val="none"/>
        </w:rPr>
        <w:t>统一社会信用代码</w:t>
      </w:r>
      <w:r>
        <w:rPr>
          <w:rFonts w:ascii="宋体" w:hAnsi="宋体" w:cs="宋体"/>
          <w:bCs/>
          <w:szCs w:val="21"/>
          <w:highlight w:val="none"/>
        </w:rPr>
        <w:t>:116101160134533404</w:t>
      </w:r>
    </w:p>
    <w:p w14:paraId="129BBF18">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highlight w:val="none"/>
        </w:rPr>
      </w:pPr>
      <w:r>
        <w:rPr>
          <w:rFonts w:ascii="宋体" w:hAnsi="宋体"/>
          <w:b/>
          <w:szCs w:val="21"/>
          <w:highlight w:val="none"/>
        </w:rPr>
        <w:t>服务内容与质量标准</w:t>
      </w:r>
    </w:p>
    <w:p w14:paraId="584BF22D">
      <w:pPr>
        <w:widowControl/>
        <w:numPr>
          <w:ilvl w:val="0"/>
          <w:numId w:val="6"/>
        </w:numPr>
        <w:tabs>
          <w:tab w:val="left" w:pos="420"/>
        </w:tabs>
        <w:spacing w:line="360" w:lineRule="auto"/>
        <w:ind w:firstLine="420" w:firstLineChars="200"/>
        <w:jc w:val="left"/>
        <w:rPr>
          <w:rFonts w:hint="default" w:ascii="宋体" w:hAnsi="宋体" w:cs="宋体"/>
          <w:szCs w:val="21"/>
          <w:highlight w:val="none"/>
        </w:rPr>
      </w:pPr>
      <w:r>
        <w:rPr>
          <w:rFonts w:hint="default" w:ascii="宋体" w:hAnsi="宋体" w:cs="宋体"/>
          <w:szCs w:val="21"/>
          <w:highlight w:val="none"/>
        </w:rPr>
        <w:t>诉讼辅助服务：引导分流、网上立案材料辅助审核、立案信息录入及案件流转、电话接听、案件信息查询、信访接待登记等。</w:t>
      </w:r>
    </w:p>
    <w:bookmarkEnd w:id="0"/>
    <w:p w14:paraId="30AE537C">
      <w:pPr>
        <w:widowControl/>
        <w:numPr>
          <w:ilvl w:val="0"/>
          <w:numId w:val="6"/>
        </w:numPr>
        <w:tabs>
          <w:tab w:val="left" w:pos="420"/>
        </w:tabs>
        <w:spacing w:line="360" w:lineRule="auto"/>
        <w:ind w:firstLine="420" w:firstLineChars="200"/>
        <w:jc w:val="left"/>
        <w:rPr>
          <w:rFonts w:hint="default" w:ascii="宋体" w:hAnsi="宋体" w:cs="宋体"/>
          <w:szCs w:val="21"/>
        </w:rPr>
      </w:pPr>
      <w:r>
        <w:rPr>
          <w:rFonts w:ascii="宋体" w:hAnsi="宋体" w:cs="宋体"/>
          <w:szCs w:val="21"/>
        </w:rPr>
        <w:t>乙方服务团队人员按甲方规定，进行司法辅助事务性工作，所完成的业务成果需达到甲方要求。</w:t>
      </w:r>
    </w:p>
    <w:p w14:paraId="6A21B992">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rPr>
      </w:pPr>
      <w:r>
        <w:rPr>
          <w:rFonts w:ascii="宋体" w:hAnsi="宋体" w:cs="宋体"/>
          <w:b/>
          <w:bCs/>
          <w:color w:val="000000"/>
          <w:kern w:val="0"/>
          <w:szCs w:val="21"/>
        </w:rPr>
        <w:t>工作人员及设备要求</w:t>
      </w:r>
    </w:p>
    <w:p w14:paraId="23E73D0B">
      <w:pPr>
        <w:numPr>
          <w:ilvl w:val="0"/>
          <w:numId w:val="7"/>
        </w:numPr>
        <w:tabs>
          <w:tab w:val="left" w:pos="658"/>
        </w:tabs>
        <w:spacing w:line="360" w:lineRule="auto"/>
        <w:ind w:firstLine="420" w:firstLineChars="200"/>
        <w:rPr>
          <w:rFonts w:hint="default" w:ascii="宋体" w:hAnsi="宋体" w:cs="宋体"/>
          <w:b/>
          <w:bCs/>
          <w:color w:val="FF0000"/>
          <w:kern w:val="0"/>
          <w:szCs w:val="21"/>
        </w:rPr>
      </w:pPr>
      <w:r>
        <w:rPr>
          <w:rFonts w:ascii="宋体" w:hAnsi="宋体"/>
          <w:bCs/>
          <w:szCs w:val="21"/>
        </w:rPr>
        <w:t>如乙方工作人员离职或被辞退，乙方应在2天内补充人员到岗。</w:t>
      </w:r>
    </w:p>
    <w:p w14:paraId="080F927A">
      <w:pPr>
        <w:numPr>
          <w:ilvl w:val="0"/>
          <w:numId w:val="7"/>
        </w:numPr>
        <w:tabs>
          <w:tab w:val="left" w:pos="658"/>
        </w:tabs>
        <w:spacing w:line="360" w:lineRule="auto"/>
        <w:ind w:firstLine="420" w:firstLineChars="200"/>
        <w:rPr>
          <w:rFonts w:hint="default" w:ascii="宋体" w:hAnsi="宋体" w:cs="宋体"/>
          <w:b/>
          <w:bCs/>
          <w:color w:val="FF0000"/>
          <w:kern w:val="0"/>
          <w:szCs w:val="21"/>
        </w:rPr>
      </w:pPr>
      <w:r>
        <w:rPr>
          <w:rFonts w:ascii="宋体" w:hAnsi="宋体" w:cs="宋体"/>
          <w:kern w:val="0"/>
          <w:szCs w:val="21"/>
        </w:rPr>
        <w:t>具体工作人员要求如下:</w:t>
      </w:r>
    </w:p>
    <w:p w14:paraId="765DA519">
      <w:pPr>
        <w:widowControl/>
        <w:tabs>
          <w:tab w:val="left" w:pos="420"/>
        </w:tabs>
        <w:spacing w:line="360" w:lineRule="auto"/>
        <w:ind w:firstLine="420" w:firstLineChars="200"/>
        <w:jc w:val="left"/>
        <w:rPr>
          <w:rFonts w:hint="default" w:ascii="宋体" w:hAnsi="宋体"/>
          <w:bCs/>
          <w:szCs w:val="21"/>
        </w:rPr>
      </w:pPr>
      <w:r>
        <w:rPr>
          <w:rFonts w:hint="default" w:ascii="宋体" w:hAnsi="宋体" w:cs="宋体"/>
          <w:bCs/>
          <w:szCs w:val="21"/>
        </w:rPr>
        <w:t>(1)</w:t>
      </w:r>
      <w:r>
        <w:rPr>
          <w:rFonts w:hint="default" w:ascii="宋体" w:hAnsi="宋体"/>
          <w:bCs/>
          <w:szCs w:val="21"/>
        </w:rPr>
        <w:t>项目管理人员</w:t>
      </w:r>
    </w:p>
    <w:p w14:paraId="34847459">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1）甲方有权建议更换项目管理人员，其接受被分配庭室负责人的领导；</w:t>
      </w:r>
    </w:p>
    <w:p w14:paraId="707847B2">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2）</w:t>
      </w:r>
      <w:r>
        <w:rPr>
          <w:rFonts w:hint="default" w:ascii="宋体" w:hAnsi="宋体"/>
          <w:bCs/>
          <w:szCs w:val="21"/>
        </w:rPr>
        <w:t>坚持四项基本原则，有良好的的政治素质，遵纪守法、作风正派、品行端正，无违法犯罪记录，热爱法院工作；</w:t>
      </w:r>
    </w:p>
    <w:p w14:paraId="164AFB41">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3）</w:t>
      </w:r>
      <w:r>
        <w:rPr>
          <w:rFonts w:hint="default" w:ascii="宋体" w:hAnsi="宋体"/>
          <w:bCs/>
          <w:szCs w:val="21"/>
        </w:rPr>
        <w:t>本科以上学历，法律、行政管理、人力资源等相关专业毕业；</w:t>
      </w:r>
    </w:p>
    <w:p w14:paraId="35D0A230">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4）</w:t>
      </w:r>
      <w:r>
        <w:rPr>
          <w:rFonts w:hint="default" w:ascii="宋体" w:hAnsi="宋体"/>
          <w:bCs/>
          <w:szCs w:val="21"/>
        </w:rPr>
        <w:t>有相关业务服务内容工作经验；</w:t>
      </w:r>
    </w:p>
    <w:p w14:paraId="6B51A5E6">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5）</w:t>
      </w:r>
      <w:r>
        <w:rPr>
          <w:rFonts w:hint="default" w:ascii="宋体" w:hAnsi="宋体"/>
          <w:bCs/>
          <w:szCs w:val="21"/>
        </w:rPr>
        <w:t>富于创新精神和团队精神，勇于接受挑战；</w:t>
      </w:r>
    </w:p>
    <w:p w14:paraId="6409D3B3">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6）</w:t>
      </w:r>
      <w:r>
        <w:rPr>
          <w:rFonts w:hint="default" w:ascii="宋体" w:hAnsi="宋体"/>
          <w:bCs/>
          <w:szCs w:val="21"/>
        </w:rPr>
        <w:t>具备良好的沟通和协调能力，较强的文字表达和公文处理能力，熟悉办公软件操作；</w:t>
      </w:r>
    </w:p>
    <w:p w14:paraId="12191D90">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7）</w:t>
      </w:r>
      <w:r>
        <w:rPr>
          <w:rFonts w:hint="default" w:ascii="宋体" w:hAnsi="宋体"/>
          <w:bCs/>
          <w:szCs w:val="21"/>
        </w:rPr>
        <w:t>具有很强的政策法规意识和工作保密意识</w:t>
      </w:r>
      <w:r>
        <w:rPr>
          <w:rFonts w:ascii="宋体" w:hAnsi="宋体"/>
          <w:bCs/>
          <w:szCs w:val="21"/>
        </w:rPr>
        <w:t>。</w:t>
      </w:r>
    </w:p>
    <w:p w14:paraId="2AC0EF71">
      <w:pPr>
        <w:widowControl/>
        <w:tabs>
          <w:tab w:val="left" w:pos="420"/>
        </w:tabs>
        <w:spacing w:line="360" w:lineRule="auto"/>
        <w:ind w:firstLine="420" w:firstLineChars="200"/>
        <w:jc w:val="left"/>
        <w:rPr>
          <w:rFonts w:hint="default" w:ascii="宋体" w:hAnsi="宋体"/>
          <w:bCs/>
          <w:szCs w:val="21"/>
        </w:rPr>
      </w:pPr>
      <w:r>
        <w:rPr>
          <w:rFonts w:hint="default" w:ascii="宋体" w:hAnsi="宋体" w:cs="宋体"/>
          <w:bCs/>
          <w:szCs w:val="21"/>
        </w:rPr>
        <w:t>(</w:t>
      </w:r>
      <w:r>
        <w:rPr>
          <w:rFonts w:ascii="宋体" w:hAnsi="宋体" w:cs="宋体"/>
          <w:bCs/>
          <w:szCs w:val="21"/>
        </w:rPr>
        <w:t>2</w:t>
      </w:r>
      <w:r>
        <w:rPr>
          <w:rFonts w:hint="default" w:ascii="宋体" w:hAnsi="宋体" w:cs="宋体"/>
          <w:bCs/>
          <w:szCs w:val="21"/>
        </w:rPr>
        <w:t>)其他服务人员</w:t>
      </w:r>
    </w:p>
    <w:p w14:paraId="1D4FD1A7">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1）</w:t>
      </w:r>
      <w:r>
        <w:rPr>
          <w:rFonts w:hint="default" w:ascii="宋体" w:hAnsi="宋体"/>
          <w:bCs/>
          <w:szCs w:val="21"/>
        </w:rPr>
        <w:t>坚持四项基本原则，有良好的的政治素质，遵纪守法、作风正派、品行端正，无违法犯罪记录，热爱法院工作；</w:t>
      </w:r>
    </w:p>
    <w:p w14:paraId="01D8F6A5">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2）</w:t>
      </w:r>
      <w:r>
        <w:rPr>
          <w:rFonts w:hint="default" w:ascii="宋体" w:hAnsi="宋体"/>
          <w:bCs/>
          <w:szCs w:val="21"/>
        </w:rPr>
        <w:t>大专以上学历，至少4名法律专业毕业；</w:t>
      </w:r>
    </w:p>
    <w:p w14:paraId="519F7CC9">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3）</w:t>
      </w:r>
      <w:r>
        <w:rPr>
          <w:rFonts w:hint="default" w:ascii="宋体" w:hAnsi="宋体"/>
          <w:bCs/>
          <w:szCs w:val="21"/>
        </w:rPr>
        <w:t>具有正常履行职责的身体条件和工作能力，工作责任感强，吃苦耐劳、工作细致，可以承受工作压力，有良好的沟通能力和团队合作精神；</w:t>
      </w:r>
    </w:p>
    <w:p w14:paraId="6BE36565">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4）</w:t>
      </w:r>
      <w:r>
        <w:rPr>
          <w:rFonts w:hint="default" w:ascii="宋体" w:hAnsi="宋体"/>
          <w:bCs/>
          <w:szCs w:val="21"/>
        </w:rPr>
        <w:t>身体健康，能胜任审判执行事务性岗位工作，年龄40周岁以下；</w:t>
      </w:r>
    </w:p>
    <w:p w14:paraId="0020A9B3">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5）</w:t>
      </w:r>
      <w:r>
        <w:rPr>
          <w:rFonts w:hint="default" w:ascii="宋体" w:hAnsi="宋体"/>
          <w:bCs/>
          <w:szCs w:val="21"/>
        </w:rPr>
        <w:t>熟练操作计算机，熟悉常用办公软件（如word、excel），快速进行文字输入及档案整理工作；</w:t>
      </w:r>
    </w:p>
    <w:p w14:paraId="5163C744">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6）</w:t>
      </w:r>
      <w:r>
        <w:rPr>
          <w:rFonts w:hint="default" w:ascii="宋体" w:hAnsi="宋体"/>
          <w:bCs/>
          <w:szCs w:val="21"/>
        </w:rPr>
        <w:t>遵守长安法院日常管理制度和工作规范；</w:t>
      </w:r>
    </w:p>
    <w:p w14:paraId="2A7A57E2">
      <w:pPr>
        <w:widowControl/>
        <w:tabs>
          <w:tab w:val="left" w:pos="420"/>
        </w:tabs>
        <w:spacing w:line="360" w:lineRule="auto"/>
        <w:ind w:firstLine="420" w:firstLineChars="200"/>
        <w:jc w:val="left"/>
        <w:rPr>
          <w:rFonts w:hint="default" w:ascii="宋体" w:hAnsi="宋体"/>
          <w:bCs/>
          <w:szCs w:val="21"/>
        </w:rPr>
      </w:pPr>
      <w:r>
        <w:rPr>
          <w:rFonts w:ascii="宋体" w:hAnsi="宋体"/>
          <w:bCs/>
          <w:szCs w:val="21"/>
        </w:rPr>
        <w:t>7）</w:t>
      </w:r>
      <w:r>
        <w:rPr>
          <w:rFonts w:hint="default" w:ascii="宋体" w:hAnsi="宋体"/>
          <w:bCs/>
          <w:szCs w:val="21"/>
        </w:rPr>
        <w:t>有</w:t>
      </w:r>
      <w:r>
        <w:rPr>
          <w:rFonts w:ascii="宋体" w:hAnsi="宋体"/>
          <w:bCs/>
          <w:szCs w:val="21"/>
        </w:rPr>
        <w:t>至少5名</w:t>
      </w:r>
      <w:r>
        <w:rPr>
          <w:rFonts w:hint="default" w:ascii="宋体" w:hAnsi="宋体"/>
          <w:bCs/>
          <w:szCs w:val="21"/>
        </w:rPr>
        <w:t>数量男性工作人员。</w:t>
      </w:r>
    </w:p>
    <w:p w14:paraId="79AB1B40">
      <w:pPr>
        <w:numPr>
          <w:ilvl w:val="0"/>
          <w:numId w:val="7"/>
        </w:numPr>
        <w:tabs>
          <w:tab w:val="left" w:pos="658"/>
        </w:tabs>
        <w:spacing w:line="360" w:lineRule="auto"/>
        <w:ind w:firstLine="420" w:firstLineChars="200"/>
        <w:rPr>
          <w:rFonts w:hint="default" w:ascii="宋体" w:hAnsi="宋体" w:cs="宋体"/>
          <w:kern w:val="0"/>
          <w:szCs w:val="21"/>
        </w:rPr>
      </w:pPr>
      <w:r>
        <w:rPr>
          <w:rFonts w:ascii="宋体" w:hAnsi="宋体" w:cs="宋体"/>
          <w:kern w:val="0"/>
          <w:szCs w:val="21"/>
        </w:rPr>
        <w:t>下列工作人员之一不得担任本合同的工作人员：</w:t>
      </w:r>
    </w:p>
    <w:p w14:paraId="2E40FA96">
      <w:pPr>
        <w:widowControl/>
        <w:numPr>
          <w:ilvl w:val="0"/>
          <w:numId w:val="8"/>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因犯罪受过刑事处罚的；</w:t>
      </w:r>
    </w:p>
    <w:p w14:paraId="21B7AE51">
      <w:pPr>
        <w:widowControl/>
        <w:numPr>
          <w:ilvl w:val="0"/>
          <w:numId w:val="8"/>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曾被开除公职或辞退的；</w:t>
      </w:r>
    </w:p>
    <w:p w14:paraId="68E1A7F5">
      <w:pPr>
        <w:widowControl/>
        <w:numPr>
          <w:ilvl w:val="0"/>
          <w:numId w:val="8"/>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涉嫌违法违纪正在接受审查的，尚未作出结论的；</w:t>
      </w:r>
    </w:p>
    <w:p w14:paraId="77F9C751">
      <w:pPr>
        <w:widowControl/>
        <w:numPr>
          <w:ilvl w:val="0"/>
          <w:numId w:val="8"/>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有较为严重的个人不良信用记录的，被法院列入失信人员名单的；</w:t>
      </w:r>
    </w:p>
    <w:p w14:paraId="57DEB285">
      <w:pPr>
        <w:widowControl/>
        <w:numPr>
          <w:ilvl w:val="0"/>
          <w:numId w:val="8"/>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项目工作人员的近亲属中存在担任审判人员或提供其他有偿法律服务的情况；</w:t>
      </w:r>
    </w:p>
    <w:p w14:paraId="6772D033">
      <w:pPr>
        <w:widowControl/>
        <w:numPr>
          <w:ilvl w:val="0"/>
          <w:numId w:val="8"/>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法律、法规规定的其他不得应聘的情形。</w:t>
      </w:r>
    </w:p>
    <w:p w14:paraId="3793D928">
      <w:pPr>
        <w:numPr>
          <w:ilvl w:val="0"/>
          <w:numId w:val="7"/>
        </w:numPr>
        <w:tabs>
          <w:tab w:val="left" w:pos="658"/>
        </w:tabs>
        <w:spacing w:line="360" w:lineRule="auto"/>
        <w:ind w:firstLine="420" w:firstLineChars="200"/>
        <w:rPr>
          <w:rFonts w:hint="default" w:ascii="宋体" w:hAnsi="宋体" w:cs="宋体"/>
          <w:kern w:val="0"/>
          <w:szCs w:val="21"/>
        </w:rPr>
      </w:pPr>
      <w:r>
        <w:rPr>
          <w:rFonts w:ascii="宋体" w:hAnsi="宋体" w:cs="宋体"/>
          <w:kern w:val="0"/>
          <w:szCs w:val="21"/>
        </w:rPr>
        <w:t>办公设备要求:</w:t>
      </w:r>
    </w:p>
    <w:p w14:paraId="7B221BEF">
      <w:pPr>
        <w:widowControl/>
        <w:numPr>
          <w:ilvl w:val="0"/>
          <w:numId w:val="9"/>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由甲方负责提供服务场地、必要的办公条件(包括但不限于办公桌椅、文件柜储物柜等)和工作用品及耗材。</w:t>
      </w:r>
    </w:p>
    <w:p w14:paraId="3FBDF4A0">
      <w:pPr>
        <w:widowControl/>
        <w:numPr>
          <w:ilvl w:val="0"/>
          <w:numId w:val="9"/>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由甲方负责提供办公设备。</w:t>
      </w:r>
    </w:p>
    <w:p w14:paraId="49EA00E6">
      <w:pPr>
        <w:widowControl/>
        <w:numPr>
          <w:ilvl w:val="0"/>
          <w:numId w:val="9"/>
        </w:numPr>
        <w:tabs>
          <w:tab w:val="left" w:pos="420"/>
          <w:tab w:val="clear" w:pos="0"/>
        </w:tabs>
        <w:spacing w:line="360" w:lineRule="auto"/>
        <w:ind w:firstLine="420" w:firstLineChars="200"/>
        <w:jc w:val="left"/>
        <w:rPr>
          <w:rFonts w:hint="default" w:ascii="宋体" w:hAnsi="宋体" w:cs="宋体"/>
          <w:szCs w:val="21"/>
        </w:rPr>
      </w:pPr>
      <w:r>
        <w:rPr>
          <w:rFonts w:ascii="宋体" w:hAnsi="宋体" w:cs="宋体"/>
          <w:szCs w:val="21"/>
        </w:rPr>
        <w:t>乙方应管理工作人员正确使用所有办公设备，如因乙方工作人员使用不当导致设备毁损的，乙方应当承担相应的赔偿责任。</w:t>
      </w:r>
    </w:p>
    <w:p w14:paraId="3A27782A">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rPr>
      </w:pPr>
      <w:r>
        <w:rPr>
          <w:rFonts w:ascii="宋体" w:hAnsi="宋体" w:cs="宋体"/>
          <w:b/>
          <w:bCs/>
          <w:color w:val="000000"/>
          <w:kern w:val="0"/>
          <w:szCs w:val="21"/>
        </w:rPr>
        <w:t>知识产权</w:t>
      </w:r>
    </w:p>
    <w:p w14:paraId="230F7D0D">
      <w:pPr>
        <w:widowControl/>
        <w:spacing w:line="360" w:lineRule="auto"/>
        <w:ind w:firstLine="420" w:firstLineChars="200"/>
        <w:jc w:val="left"/>
        <w:rPr>
          <w:rFonts w:hint="default" w:ascii="宋体" w:hAnsi="宋体" w:cs="宋体"/>
          <w:color w:val="000000"/>
          <w:szCs w:val="21"/>
        </w:rPr>
      </w:pPr>
      <w:r>
        <w:rPr>
          <w:rFonts w:ascii="宋体" w:hAnsi="宋体" w:cs="宋体"/>
          <w:color w:val="000000"/>
          <w:szCs w:val="21"/>
        </w:rPr>
        <w:t>乙方应保证所提供的服务或其任何一部分均不会侵犯任何第三方的专利权、商标权或著作权。</w:t>
      </w:r>
    </w:p>
    <w:p w14:paraId="45B22BF7">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rPr>
      </w:pPr>
      <w:r>
        <w:rPr>
          <w:rFonts w:ascii="宋体" w:hAnsi="宋体"/>
          <w:b/>
          <w:szCs w:val="21"/>
        </w:rPr>
        <w:t>甲方的权利和义务</w:t>
      </w:r>
    </w:p>
    <w:p w14:paraId="69DCBDEE">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295140C3">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2、甲方有权依据双方签订的考评办法对乙方提供的服务进行定期考评。</w:t>
      </w:r>
    </w:p>
    <w:p w14:paraId="645D78F4">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3、负责检查监督乙方管理工作的实施及制度的执行情况。</w:t>
      </w:r>
    </w:p>
    <w:p w14:paraId="671F1C00">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4、根据本合同规定，按时向乙方支付应付服务费用。</w:t>
      </w:r>
    </w:p>
    <w:p w14:paraId="58C89789">
      <w:pPr>
        <w:spacing w:line="360" w:lineRule="auto"/>
        <w:ind w:left="426"/>
        <w:rPr>
          <w:rFonts w:hint="default"/>
          <w:szCs w:val="21"/>
        </w:rPr>
      </w:pPr>
      <w:r>
        <w:rPr>
          <w:szCs w:val="21"/>
        </w:rPr>
        <w:t>5、国家法律、法规所规定由甲方承担的其它责任。</w:t>
      </w:r>
    </w:p>
    <w:p w14:paraId="5B1D3FC9">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rPr>
      </w:pPr>
      <w:r>
        <w:rPr>
          <w:rFonts w:ascii="宋体" w:hAnsi="宋体" w:cs="宋体"/>
          <w:b/>
          <w:bCs/>
          <w:color w:val="000000"/>
          <w:kern w:val="0"/>
          <w:szCs w:val="21"/>
        </w:rPr>
        <w:t>乙</w:t>
      </w:r>
      <w:r>
        <w:rPr>
          <w:rFonts w:ascii="宋体" w:hAnsi="宋体"/>
          <w:b/>
          <w:szCs w:val="21"/>
        </w:rPr>
        <w:t>方的权利和义务</w:t>
      </w:r>
    </w:p>
    <w:p w14:paraId="1C799DA2">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1、对本合同规定的委托服务范围内的项目享有管理权及服务义务。</w:t>
      </w:r>
    </w:p>
    <w:p w14:paraId="25C08E15">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2、根据本合同的规定向甲方收取相关服务费用，并有权在本项目管理范围内管理及合理使用。</w:t>
      </w:r>
    </w:p>
    <w:p w14:paraId="7B6D8649">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3、及时向甲方通告本项目服务范围内有关服务的重大事项，及时配合处理投诉。</w:t>
      </w:r>
    </w:p>
    <w:p w14:paraId="39F3E5F8">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4、接受项目行业管理部门及政府有关部门的指导，接受甲方的监督。</w:t>
      </w:r>
    </w:p>
    <w:p w14:paraId="5FFA52BC">
      <w:pPr>
        <w:adjustRightInd w:val="0"/>
        <w:spacing w:line="360" w:lineRule="auto"/>
        <w:ind w:firstLine="420" w:firstLineChars="200"/>
        <w:jc w:val="left"/>
        <w:textAlignment w:val="baseline"/>
        <w:rPr>
          <w:rFonts w:hint="default" w:ascii="宋体" w:hAnsi="宋体"/>
          <w:bCs/>
          <w:szCs w:val="21"/>
        </w:rPr>
      </w:pPr>
      <w:r>
        <w:rPr>
          <w:rFonts w:ascii="宋体" w:hAnsi="宋体"/>
          <w:bCs/>
          <w:szCs w:val="21"/>
        </w:rPr>
        <w:t>5、乙方不得再以任何方式转包分包本项目。</w:t>
      </w:r>
    </w:p>
    <w:p w14:paraId="6FCDE851">
      <w:pPr>
        <w:adjustRightInd w:val="0"/>
        <w:spacing w:line="360" w:lineRule="auto"/>
        <w:ind w:firstLine="420" w:firstLineChars="200"/>
        <w:jc w:val="left"/>
        <w:textAlignment w:val="baseline"/>
        <w:rPr>
          <w:rFonts w:hint="default"/>
        </w:rPr>
      </w:pPr>
      <w:r>
        <w:rPr>
          <w:rFonts w:ascii="宋体" w:hAnsi="宋体"/>
          <w:bCs/>
          <w:szCs w:val="21"/>
        </w:rPr>
        <w:t>6、国家法律、法规所规定由乙方承担的其它责任。</w:t>
      </w:r>
    </w:p>
    <w:p w14:paraId="317DD38E">
      <w:pPr>
        <w:widowControl/>
        <w:numPr>
          <w:ilvl w:val="0"/>
          <w:numId w:val="2"/>
        </w:numPr>
        <w:tabs>
          <w:tab w:val="left" w:pos="709"/>
          <w:tab w:val="left" w:pos="992"/>
        </w:tabs>
        <w:spacing w:line="360" w:lineRule="auto"/>
        <w:ind w:firstLine="422" w:firstLineChars="200"/>
        <w:jc w:val="left"/>
        <w:rPr>
          <w:rFonts w:hint="default" w:ascii="宋体" w:hAnsi="宋体" w:cs="宋体"/>
          <w:b/>
          <w:bCs/>
          <w:kern w:val="0"/>
          <w:szCs w:val="21"/>
        </w:rPr>
      </w:pPr>
      <w:r>
        <w:rPr>
          <w:rFonts w:ascii="宋体" w:hAnsi="宋体" w:cs="宋体"/>
          <w:b/>
          <w:bCs/>
          <w:kern w:val="0"/>
          <w:szCs w:val="21"/>
        </w:rPr>
        <w:t>违约责任</w:t>
      </w:r>
    </w:p>
    <w:p w14:paraId="286D9465">
      <w:pPr>
        <w:widowControl/>
        <w:numPr>
          <w:ilvl w:val="0"/>
          <w:numId w:val="10"/>
        </w:numPr>
        <w:spacing w:line="360" w:lineRule="auto"/>
        <w:ind w:firstLine="442"/>
        <w:jc w:val="left"/>
        <w:rPr>
          <w:rFonts w:hint="default" w:ascii="宋体" w:hAnsi="宋体" w:cs="宋体"/>
          <w:szCs w:val="21"/>
        </w:rPr>
      </w:pPr>
      <w:r>
        <w:rPr>
          <w:rFonts w:ascii="宋体" w:hAnsi="宋体" w:cs="宋体"/>
          <w:szCs w:val="21"/>
        </w:rPr>
        <w:t>除不可抗力外，如甲方未按本合同约定的付款方式付款，乙方可要求甲方支付违约金，违约金按银行间同业拆借中心公布的市场报价利率计算。逾期付款超过3个月的，乙方有权在要求甲方支付违约金的同时书面通知甲方解除本合同。</w:t>
      </w:r>
    </w:p>
    <w:p w14:paraId="7341E348">
      <w:pPr>
        <w:widowControl/>
        <w:numPr>
          <w:ilvl w:val="0"/>
          <w:numId w:val="10"/>
        </w:numPr>
        <w:spacing w:line="360" w:lineRule="auto"/>
        <w:ind w:firstLine="442"/>
        <w:jc w:val="left"/>
        <w:rPr>
          <w:rFonts w:hint="default" w:ascii="宋体" w:hAnsi="宋体" w:cs="宋体"/>
          <w:szCs w:val="21"/>
        </w:rPr>
      </w:pPr>
      <w:r>
        <w:rPr>
          <w:rFonts w:ascii="宋体" w:hAnsi="宋体" w:cs="宋体"/>
          <w:szCs w:val="21"/>
        </w:rPr>
        <w:t>如因甲方逾期支付服务费导致乙方延迟发放服务人员劳动报酬、社会保险费及其他费用的，乙方有权向甲方追偿相应损失。(因受不可抗力因素导致甲方无法如期支付约定服务费的，经双方书面达成一致除外。)</w:t>
      </w:r>
    </w:p>
    <w:p w14:paraId="325425CE">
      <w:pPr>
        <w:widowControl/>
        <w:numPr>
          <w:ilvl w:val="0"/>
          <w:numId w:val="10"/>
        </w:numPr>
        <w:spacing w:line="360" w:lineRule="auto"/>
        <w:ind w:firstLine="442"/>
        <w:jc w:val="left"/>
        <w:rPr>
          <w:rFonts w:hint="default" w:ascii="宋体" w:hAnsi="宋体" w:cs="宋体"/>
          <w:color w:val="000000" w:themeColor="text1"/>
          <w:szCs w:val="21"/>
        </w:rPr>
      </w:pPr>
      <w:r>
        <w:rPr>
          <w:rFonts w:ascii="宋体" w:hAnsi="宋体" w:cs="宋体"/>
          <w:color w:val="000000" w:themeColor="text1"/>
          <w:szCs w:val="21"/>
        </w:rPr>
        <w:t>任何一方未履行本合同项下的任何一项条款均被视为违约。根据违约情节不同，违约方应承担合同总价10%-20%违约金。</w:t>
      </w:r>
    </w:p>
    <w:p w14:paraId="04B3C3DA">
      <w:pPr>
        <w:widowControl/>
        <w:numPr>
          <w:ilvl w:val="0"/>
          <w:numId w:val="10"/>
        </w:numPr>
        <w:spacing w:line="360" w:lineRule="auto"/>
        <w:ind w:firstLine="442"/>
        <w:jc w:val="left"/>
        <w:rPr>
          <w:rFonts w:hint="default" w:ascii="宋体" w:hAnsi="宋体" w:cs="宋体"/>
          <w:szCs w:val="21"/>
        </w:rPr>
      </w:pPr>
      <w:r>
        <w:rPr>
          <w:rFonts w:ascii="宋体" w:hAnsi="宋体" w:cs="宋体"/>
          <w:szCs w:val="21"/>
        </w:rPr>
        <w:t>甲乙双方必须遵守本合同并执行合同中的各项规定，保证本合同的正常履行。</w:t>
      </w:r>
    </w:p>
    <w:p w14:paraId="38F28A97">
      <w:pPr>
        <w:widowControl/>
        <w:numPr>
          <w:ilvl w:val="0"/>
          <w:numId w:val="10"/>
        </w:numPr>
        <w:spacing w:line="360" w:lineRule="auto"/>
        <w:ind w:firstLine="442"/>
        <w:jc w:val="left"/>
        <w:rPr>
          <w:rFonts w:hint="default" w:ascii="宋体" w:hAnsi="宋体" w:cs="宋体"/>
          <w:szCs w:val="21"/>
        </w:rPr>
      </w:pPr>
      <w:r>
        <w:rPr>
          <w:rFonts w:ascii="宋体" w:hAnsi="宋体" w:cs="宋体"/>
          <w:szCs w:val="21"/>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并支</w:t>
      </w:r>
      <w:r>
        <w:rPr>
          <w:rFonts w:ascii="宋体" w:hAnsi="宋体" w:cs="宋体"/>
          <w:color w:val="000000" w:themeColor="text1"/>
          <w:szCs w:val="21"/>
        </w:rPr>
        <w:t>付甲方合同总价10%-20%违约金。</w:t>
      </w:r>
    </w:p>
    <w:p w14:paraId="68699AA1">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rPr>
      </w:pPr>
      <w:r>
        <w:rPr>
          <w:rFonts w:ascii="宋体" w:hAnsi="宋体" w:cs="宋体"/>
          <w:b/>
          <w:bCs/>
          <w:color w:val="000000"/>
          <w:kern w:val="0"/>
          <w:szCs w:val="21"/>
        </w:rPr>
        <w:t>管理要求</w:t>
      </w:r>
    </w:p>
    <w:p w14:paraId="2654F990">
      <w:pPr>
        <w:widowControl/>
        <w:numPr>
          <w:ilvl w:val="0"/>
          <w:numId w:val="11"/>
        </w:numPr>
        <w:spacing w:line="360" w:lineRule="auto"/>
        <w:ind w:firstLine="420" w:firstLineChars="200"/>
        <w:jc w:val="left"/>
        <w:rPr>
          <w:rFonts w:hint="default" w:ascii="宋体" w:hAnsi="宋体" w:cs="宋体"/>
          <w:color w:val="000000"/>
          <w:szCs w:val="21"/>
        </w:rPr>
      </w:pPr>
      <w:r>
        <w:rPr>
          <w:rFonts w:ascii="宋体" w:hAnsi="宋体" w:cs="宋体"/>
          <w:color w:val="000000"/>
          <w:szCs w:val="21"/>
        </w:rPr>
        <w:t>乙方应按照法院夏季制服、春秋制服样式，为工作人员配发工作制服。</w:t>
      </w:r>
    </w:p>
    <w:p w14:paraId="40B1942D">
      <w:pPr>
        <w:widowControl/>
        <w:numPr>
          <w:ilvl w:val="0"/>
          <w:numId w:val="11"/>
        </w:numPr>
        <w:spacing w:line="360" w:lineRule="auto"/>
        <w:ind w:firstLine="420" w:firstLineChars="200"/>
        <w:jc w:val="left"/>
        <w:rPr>
          <w:rFonts w:hint="default" w:ascii="宋体" w:hAnsi="宋体" w:cs="宋体"/>
          <w:color w:val="000000"/>
          <w:szCs w:val="21"/>
        </w:rPr>
      </w:pPr>
      <w:r>
        <w:rPr>
          <w:rFonts w:ascii="宋体" w:hAnsi="宋体" w:cs="宋体"/>
          <w:color w:val="000000"/>
          <w:szCs w:val="21"/>
        </w:rPr>
        <w:t>乙方工作人员应在外表、面容、衣饰等方面保持整洁，上班时间按规定着工作制服，做到稳重、大方、得体、整洁，不得奇装异服，留奇异发型，化浓妆。</w:t>
      </w:r>
    </w:p>
    <w:p w14:paraId="575AC208">
      <w:pPr>
        <w:widowControl/>
        <w:numPr>
          <w:ilvl w:val="0"/>
          <w:numId w:val="11"/>
        </w:numPr>
        <w:spacing w:line="360" w:lineRule="auto"/>
        <w:ind w:firstLine="420" w:firstLineChars="200"/>
        <w:jc w:val="left"/>
        <w:rPr>
          <w:rFonts w:hint="default" w:ascii="宋体" w:hAnsi="宋体" w:cs="宋体"/>
          <w:color w:val="000000"/>
          <w:szCs w:val="21"/>
        </w:rPr>
      </w:pPr>
      <w:r>
        <w:rPr>
          <w:rFonts w:ascii="宋体" w:hAnsi="宋体" w:cs="宋体"/>
          <w:color w:val="000000"/>
          <w:szCs w:val="21"/>
        </w:rPr>
        <w:t>乙方工作人员须严格遵守甲方的相关工作守则和作息时间，并</w:t>
      </w:r>
      <w:r>
        <w:rPr>
          <w:rFonts w:ascii="宋体" w:hAnsi="宋体" w:cs="宋体"/>
          <w:szCs w:val="21"/>
        </w:rPr>
        <w:t>听从甲方的安排和分配，在指定的工作场所完成事务类工作，遵守和维护工作秩序。</w:t>
      </w:r>
    </w:p>
    <w:p w14:paraId="04880047">
      <w:pPr>
        <w:widowControl/>
        <w:numPr>
          <w:ilvl w:val="0"/>
          <w:numId w:val="11"/>
        </w:numPr>
        <w:spacing w:line="360" w:lineRule="auto"/>
        <w:ind w:firstLine="420" w:firstLineChars="200"/>
        <w:jc w:val="left"/>
        <w:rPr>
          <w:rFonts w:hint="default" w:ascii="宋体" w:hAnsi="宋体" w:cs="宋体"/>
          <w:bCs/>
          <w:color w:val="000000"/>
          <w:szCs w:val="21"/>
        </w:rPr>
      </w:pPr>
      <w:r>
        <w:rPr>
          <w:rFonts w:ascii="宋体" w:hAnsi="宋体" w:cs="宋体"/>
          <w:color w:val="000000"/>
          <w:szCs w:val="21"/>
        </w:rPr>
        <w:t>乙方工作人员不得利用工作之便，进行任何非法或本项目范围外的活动，不得有意损坏、丢失、涂改、抽换、伪造档案资料，不得擅自修改、复制案件档案资料及带离开工作场所。如经发现甲方有权终止该员工服务，并由乙方及时更换服务人员，构成犯罪的依法追究该员工法律责任。</w:t>
      </w:r>
    </w:p>
    <w:p w14:paraId="2958F7B4">
      <w:pPr>
        <w:widowControl/>
        <w:numPr>
          <w:ilvl w:val="0"/>
          <w:numId w:val="11"/>
        </w:numPr>
        <w:spacing w:line="360" w:lineRule="auto"/>
        <w:ind w:firstLine="420" w:firstLineChars="200"/>
        <w:jc w:val="left"/>
        <w:rPr>
          <w:rFonts w:hint="default" w:ascii="宋体" w:hAnsi="宋体" w:cs="宋体"/>
          <w:szCs w:val="21"/>
        </w:rPr>
      </w:pPr>
      <w:r>
        <w:rPr>
          <w:rFonts w:ascii="宋体" w:hAnsi="宋体" w:cs="宋体"/>
          <w:color w:val="000000"/>
          <w:szCs w:val="21"/>
        </w:rPr>
        <w:t>乙方工作人员在实施服务过程中甲方有监督检查权。如发现问题有权向乙方提出整改意见；乙方应在收到整改意见后5个工作日内将整改情况及配套管理制度等正式回函甲方。</w:t>
      </w:r>
    </w:p>
    <w:p w14:paraId="2B076E41">
      <w:pPr>
        <w:widowControl/>
        <w:numPr>
          <w:ilvl w:val="0"/>
          <w:numId w:val="11"/>
        </w:numPr>
        <w:spacing w:line="360" w:lineRule="auto"/>
        <w:ind w:firstLine="420" w:firstLineChars="200"/>
        <w:jc w:val="left"/>
        <w:rPr>
          <w:rFonts w:hint="default" w:ascii="宋体" w:hAnsi="宋体" w:cs="宋体"/>
          <w:szCs w:val="21"/>
        </w:rPr>
      </w:pPr>
      <w:r>
        <w:rPr>
          <w:rFonts w:ascii="宋体" w:hAnsi="宋体" w:cs="宋体"/>
          <w:color w:val="000000"/>
          <w:szCs w:val="21"/>
        </w:rPr>
        <w:t>乙方在进行服务过程中，必须确保甲方的信息安全，未经甲方同意不得擅自删除、修改和转移甲方业务系统中的信息，并为其保密。</w:t>
      </w:r>
      <w:r>
        <w:rPr>
          <w:rFonts w:ascii="宋体" w:hAnsi="宋体" w:cs="宋体"/>
          <w:szCs w:val="21"/>
        </w:rPr>
        <w:t>如乙方员工泄露甲方工作秘密，应直接辞退；如造成重大影响且情节严重的，</w:t>
      </w:r>
      <w:r>
        <w:rPr>
          <w:rFonts w:ascii="宋体" w:hAnsi="宋体" w:cs="宋体"/>
          <w:color w:val="000000" w:themeColor="text1"/>
          <w:szCs w:val="21"/>
        </w:rPr>
        <w:t>乙方应承担合同总价10%-20%违约金；同时，甲</w:t>
      </w:r>
      <w:r>
        <w:rPr>
          <w:rFonts w:ascii="宋体" w:hAnsi="宋体" w:cs="宋体"/>
          <w:szCs w:val="21"/>
        </w:rPr>
        <w:t>方有权单方面解除合同。</w:t>
      </w:r>
    </w:p>
    <w:p w14:paraId="601D1075">
      <w:pPr>
        <w:widowControl/>
        <w:numPr>
          <w:ilvl w:val="0"/>
          <w:numId w:val="2"/>
        </w:numPr>
        <w:tabs>
          <w:tab w:val="left" w:pos="709"/>
          <w:tab w:val="left" w:pos="992"/>
        </w:tabs>
        <w:adjustRightInd w:val="0"/>
        <w:snapToGrid w:val="0"/>
        <w:spacing w:line="360" w:lineRule="auto"/>
        <w:ind w:firstLine="422" w:firstLineChars="200"/>
        <w:jc w:val="left"/>
        <w:rPr>
          <w:rFonts w:hint="default" w:ascii="宋体" w:hAnsi="宋体" w:cs="宋体"/>
          <w:b/>
          <w:bCs/>
          <w:kern w:val="0"/>
          <w:szCs w:val="21"/>
        </w:rPr>
      </w:pPr>
      <w:r>
        <w:rPr>
          <w:rFonts w:ascii="宋体" w:hAnsi="宋体" w:cs="宋体"/>
          <w:b/>
          <w:bCs/>
          <w:kern w:val="0"/>
          <w:szCs w:val="21"/>
        </w:rPr>
        <w:t>争议</w:t>
      </w:r>
    </w:p>
    <w:p w14:paraId="330E89B5">
      <w:pPr>
        <w:pStyle w:val="27"/>
        <w:spacing w:line="360" w:lineRule="auto"/>
        <w:ind w:firstLine="420"/>
        <w:rPr>
          <w:rFonts w:hint="default"/>
          <w:kern w:val="0"/>
          <w:sz w:val="21"/>
          <w:szCs w:val="21"/>
        </w:rPr>
      </w:pPr>
      <w:r>
        <w:rPr>
          <w:rFonts w:ascii="宋体" w:hAnsi="宋体"/>
          <w:sz w:val="21"/>
          <w:szCs w:val="21"/>
        </w:rPr>
        <w:t>1、在执行本合同中发生的或与本合同有关的争端，双方应通过友好协商解决，经协商不能达成协议时，向甲方所在地有管辖权的人民法院提起诉讼。</w:t>
      </w:r>
    </w:p>
    <w:p w14:paraId="53B107AD">
      <w:pPr>
        <w:widowControl/>
        <w:numPr>
          <w:ilvl w:val="0"/>
          <w:numId w:val="2"/>
        </w:numPr>
        <w:tabs>
          <w:tab w:val="left" w:pos="709"/>
          <w:tab w:val="left" w:pos="992"/>
        </w:tabs>
        <w:adjustRightInd w:val="0"/>
        <w:snapToGrid w:val="0"/>
        <w:spacing w:line="360" w:lineRule="auto"/>
        <w:ind w:firstLine="422" w:firstLineChars="200"/>
        <w:jc w:val="left"/>
        <w:rPr>
          <w:rFonts w:hint="default" w:ascii="宋体" w:hAnsi="宋体" w:cs="宋体"/>
          <w:b/>
          <w:bCs/>
          <w:kern w:val="0"/>
          <w:szCs w:val="21"/>
        </w:rPr>
      </w:pPr>
      <w:r>
        <w:rPr>
          <w:rFonts w:ascii="宋体" w:hAnsi="宋体" w:cs="宋体"/>
          <w:b/>
          <w:bCs/>
          <w:kern w:val="0"/>
          <w:szCs w:val="21"/>
        </w:rPr>
        <w:t>其他</w:t>
      </w:r>
    </w:p>
    <w:p w14:paraId="5D025750">
      <w:pPr>
        <w:widowControl/>
        <w:numPr>
          <w:ilvl w:val="0"/>
          <w:numId w:val="12"/>
        </w:numPr>
        <w:tabs>
          <w:tab w:val="left" w:pos="420"/>
        </w:tabs>
        <w:adjustRightInd w:val="0"/>
        <w:spacing w:line="360" w:lineRule="auto"/>
        <w:jc w:val="left"/>
        <w:rPr>
          <w:rFonts w:hint="default" w:ascii="宋体" w:hAnsi="宋体" w:cs="宋体"/>
          <w:bCs/>
          <w:szCs w:val="21"/>
        </w:rPr>
      </w:pPr>
      <w:r>
        <w:rPr>
          <w:rFonts w:ascii="宋体" w:hAnsi="宋体" w:cs="宋体"/>
          <w:bCs/>
          <w:szCs w:val="21"/>
        </w:rPr>
        <w:t>如出现以下情形的，经甲乙双方协商达成一致，甲方需另外支付费用：因工作服务内容调整或增加，超出原定合同规定范围，由甲乙双方另行商定核算方式及核算价格。</w:t>
      </w:r>
    </w:p>
    <w:p w14:paraId="3E8817E1">
      <w:pPr>
        <w:widowControl/>
        <w:numPr>
          <w:ilvl w:val="0"/>
          <w:numId w:val="12"/>
        </w:numPr>
        <w:tabs>
          <w:tab w:val="left" w:pos="420"/>
        </w:tabs>
        <w:adjustRightInd w:val="0"/>
        <w:spacing w:line="360" w:lineRule="auto"/>
        <w:jc w:val="left"/>
        <w:rPr>
          <w:rFonts w:hint="default" w:ascii="宋体" w:hAnsi="宋体" w:cs="宋体"/>
          <w:bCs/>
          <w:szCs w:val="21"/>
        </w:rPr>
      </w:pPr>
      <w:r>
        <w:rPr>
          <w:rFonts w:ascii="宋体" w:hAnsi="宋体" w:cs="宋体"/>
          <w:bCs/>
          <w:szCs w:val="21"/>
        </w:rPr>
        <w:t>因工作人员在甲方工作期间发生工伤、疾病、死亡等情形，或因甲方违反劳动法规定导致工作人员向乙方追索补偿或赔偿的，由甲方负责支付，或由乙方承担责任后向甲方追偿。</w:t>
      </w:r>
    </w:p>
    <w:p w14:paraId="22A320D3">
      <w:pPr>
        <w:widowControl/>
        <w:numPr>
          <w:ilvl w:val="0"/>
          <w:numId w:val="12"/>
        </w:numPr>
        <w:tabs>
          <w:tab w:val="left" w:pos="420"/>
        </w:tabs>
        <w:adjustRightInd w:val="0"/>
        <w:spacing w:line="360" w:lineRule="auto"/>
        <w:jc w:val="left"/>
        <w:rPr>
          <w:rFonts w:hint="default" w:ascii="宋体" w:hAnsi="宋体" w:cs="宋体"/>
          <w:bCs/>
          <w:szCs w:val="21"/>
        </w:rPr>
      </w:pPr>
      <w:r>
        <w:rPr>
          <w:rFonts w:ascii="宋体" w:hAnsi="宋体" w:cs="宋体"/>
          <w:bCs/>
          <w:szCs w:val="21"/>
        </w:rPr>
        <w:t>若有项目变更或其他特殊情况，需要调整或增加项目工作内容的，甲方有义务提前一个月以书面形式告知乙方，便于乙方进行妥善的人力和流程安排，并另行协商工作计划。</w:t>
      </w:r>
    </w:p>
    <w:p w14:paraId="06BE5272">
      <w:pPr>
        <w:widowControl/>
        <w:numPr>
          <w:ilvl w:val="0"/>
          <w:numId w:val="12"/>
        </w:numPr>
        <w:tabs>
          <w:tab w:val="left" w:pos="420"/>
        </w:tabs>
        <w:adjustRightInd w:val="0"/>
        <w:spacing w:line="360" w:lineRule="auto"/>
        <w:jc w:val="left"/>
        <w:rPr>
          <w:rFonts w:hint="default" w:ascii="宋体" w:hAnsi="宋体" w:cs="宋体"/>
          <w:bCs/>
          <w:szCs w:val="21"/>
        </w:rPr>
      </w:pPr>
      <w:r>
        <w:rPr>
          <w:rFonts w:ascii="宋体" w:hAnsi="宋体" w:cs="宋体"/>
          <w:bCs/>
          <w:szCs w:val="21"/>
        </w:rPr>
        <w:t>对于因甲方原因导致变更、中止或者终止合同的，甲方应当依照合同约定对乙方受到的损失予以赔偿或者补偿。</w:t>
      </w:r>
    </w:p>
    <w:p w14:paraId="2976A0D8">
      <w:pPr>
        <w:widowControl/>
        <w:numPr>
          <w:ilvl w:val="0"/>
          <w:numId w:val="12"/>
        </w:numPr>
        <w:tabs>
          <w:tab w:val="left" w:pos="420"/>
        </w:tabs>
        <w:adjustRightInd w:val="0"/>
        <w:spacing w:line="360" w:lineRule="auto"/>
        <w:jc w:val="left"/>
        <w:rPr>
          <w:rFonts w:hint="default" w:ascii="宋体" w:hAnsi="宋体" w:cs="宋体"/>
          <w:bCs/>
          <w:szCs w:val="21"/>
        </w:rPr>
      </w:pPr>
      <w:r>
        <w:rPr>
          <w:rFonts w:ascii="宋体" w:hAnsi="宋体" w:cs="宋体"/>
          <w:bCs/>
          <w:szCs w:val="21"/>
        </w:rPr>
        <w:t>本合同执行期间如遇不可抗力致使合同无法履行时，双方应按有关法律规定处理。</w:t>
      </w:r>
    </w:p>
    <w:p w14:paraId="2470027B">
      <w:pPr>
        <w:widowControl/>
        <w:numPr>
          <w:ilvl w:val="0"/>
          <w:numId w:val="12"/>
        </w:numPr>
        <w:tabs>
          <w:tab w:val="left" w:pos="420"/>
        </w:tabs>
        <w:spacing w:line="360" w:lineRule="auto"/>
        <w:jc w:val="left"/>
        <w:rPr>
          <w:rFonts w:hint="default" w:ascii="宋体" w:hAnsi="宋体" w:cs="宋体"/>
          <w:bCs/>
          <w:color w:val="000000"/>
          <w:szCs w:val="21"/>
        </w:rPr>
      </w:pPr>
      <w:r>
        <w:rPr>
          <w:rFonts w:ascii="宋体" w:hAnsi="宋体" w:cs="宋体"/>
          <w:bCs/>
          <w:color w:val="000000"/>
          <w:szCs w:val="21"/>
        </w:rPr>
        <w:t>本合同之附件和《招标文件》均为合同有效组成部分。本合同及其附件内空格部分填写的文字经双确认后与印刷文字具有同等效力。本合同及其附件和补充协议中未规定的事宜，均遵照中华人民共和国有关法律法规。</w:t>
      </w:r>
    </w:p>
    <w:p w14:paraId="2C357F65">
      <w:pPr>
        <w:widowControl/>
        <w:numPr>
          <w:ilvl w:val="0"/>
          <w:numId w:val="2"/>
        </w:numPr>
        <w:tabs>
          <w:tab w:val="left" w:pos="709"/>
          <w:tab w:val="left" w:pos="992"/>
        </w:tabs>
        <w:spacing w:line="360" w:lineRule="auto"/>
        <w:ind w:firstLine="422" w:firstLineChars="200"/>
        <w:jc w:val="left"/>
        <w:rPr>
          <w:rFonts w:hint="default" w:ascii="宋体" w:hAnsi="宋体" w:cs="宋体"/>
          <w:b/>
          <w:bCs/>
          <w:color w:val="000000"/>
          <w:kern w:val="0"/>
          <w:szCs w:val="21"/>
        </w:rPr>
      </w:pPr>
      <w:r>
        <w:rPr>
          <w:rFonts w:ascii="宋体" w:hAnsi="宋体" w:cs="宋体"/>
          <w:b/>
          <w:bCs/>
          <w:color w:val="000000"/>
          <w:kern w:val="0"/>
          <w:szCs w:val="21"/>
        </w:rPr>
        <w:t>合同生效</w:t>
      </w:r>
    </w:p>
    <w:p w14:paraId="1D799EF1">
      <w:pPr>
        <w:widowControl/>
        <w:numPr>
          <w:ilvl w:val="0"/>
          <w:numId w:val="13"/>
        </w:numPr>
        <w:tabs>
          <w:tab w:val="left" w:pos="420"/>
        </w:tabs>
        <w:spacing w:line="360" w:lineRule="auto"/>
        <w:jc w:val="left"/>
        <w:rPr>
          <w:rFonts w:hint="default" w:ascii="宋体" w:hAnsi="宋体" w:cs="宋体"/>
          <w:bCs/>
          <w:color w:val="000000"/>
          <w:szCs w:val="21"/>
        </w:rPr>
      </w:pPr>
      <w:r>
        <w:rPr>
          <w:rFonts w:ascii="宋体" w:hAnsi="宋体" w:cs="宋体"/>
          <w:bCs/>
          <w:color w:val="000000"/>
          <w:szCs w:val="21"/>
        </w:rPr>
        <w:t>合同经双方法定代表人（单位负责人）或授权委托代理人签名并加盖单位公章后生效。</w:t>
      </w:r>
    </w:p>
    <w:p w14:paraId="2AAEF394">
      <w:pPr>
        <w:widowControl/>
        <w:numPr>
          <w:ilvl w:val="0"/>
          <w:numId w:val="13"/>
        </w:numPr>
        <w:tabs>
          <w:tab w:val="left" w:pos="420"/>
        </w:tabs>
        <w:spacing w:line="360" w:lineRule="auto"/>
        <w:jc w:val="left"/>
        <w:rPr>
          <w:rFonts w:hint="default" w:ascii="宋体" w:hAnsi="宋体" w:cs="宋体"/>
          <w:bCs/>
          <w:color w:val="000000"/>
          <w:szCs w:val="21"/>
        </w:rPr>
      </w:pPr>
      <w:r>
        <w:rPr>
          <w:rFonts w:ascii="宋体" w:hAnsi="宋体" w:cs="宋体"/>
          <w:bCs/>
          <w:color w:val="000000"/>
          <w:szCs w:val="21"/>
        </w:rPr>
        <w:t>本合同一式陆份，自双方签章之日起生效。甲方执贰份，乙方执贰份，具有同等法律效力。</w:t>
      </w:r>
    </w:p>
    <w:p w14:paraId="61326D0A">
      <w:pPr>
        <w:widowControl/>
        <w:tabs>
          <w:tab w:val="left" w:pos="420"/>
        </w:tabs>
        <w:adjustRightInd w:val="0"/>
        <w:snapToGrid w:val="0"/>
        <w:spacing w:line="360" w:lineRule="auto"/>
        <w:ind w:firstLine="420" w:firstLineChars="200"/>
        <w:jc w:val="left"/>
        <w:rPr>
          <w:rFonts w:hint="default" w:ascii="宋体" w:hAnsi="宋体" w:cs="宋体"/>
          <w:bCs/>
          <w:color w:val="000000"/>
          <w:szCs w:val="21"/>
        </w:rPr>
      </w:pPr>
    </w:p>
    <w:p w14:paraId="0370687E">
      <w:pPr>
        <w:widowControl/>
        <w:tabs>
          <w:tab w:val="left" w:pos="420"/>
        </w:tabs>
        <w:adjustRightInd w:val="0"/>
        <w:snapToGrid w:val="0"/>
        <w:spacing w:line="360" w:lineRule="auto"/>
        <w:ind w:firstLine="420" w:firstLineChars="200"/>
        <w:jc w:val="left"/>
        <w:rPr>
          <w:rFonts w:hint="default"/>
        </w:rPr>
      </w:pPr>
      <w:r>
        <w:rPr>
          <w:rFonts w:ascii="宋体" w:hAnsi="宋体" w:cs="宋体"/>
          <w:bCs/>
          <w:color w:val="000000"/>
          <w:szCs w:val="21"/>
        </w:rPr>
        <w:t>(以下无正文)</w:t>
      </w:r>
    </w:p>
    <w:p w14:paraId="5006DCBA">
      <w:pPr>
        <w:bidi/>
        <w:spacing w:line="300" w:lineRule="exact"/>
        <w:jc w:val="right"/>
        <w:rPr>
          <w:rFonts w:hint="default" w:ascii="宋体" w:hAnsi="宋体"/>
          <w:szCs w:val="21"/>
        </w:rPr>
      </w:pPr>
    </w:p>
    <w:p w14:paraId="10C9A13C">
      <w:pPr>
        <w:bidi/>
        <w:spacing w:line="360" w:lineRule="auto"/>
        <w:jc w:val="right"/>
        <w:rPr>
          <w:rFonts w:hint="default" w:ascii="宋体" w:hAnsi="宋体"/>
          <w:szCs w:val="21"/>
        </w:rPr>
      </w:pPr>
    </w:p>
    <w:p w14:paraId="36592C23">
      <w:pPr>
        <w:bidi/>
        <w:spacing w:line="360" w:lineRule="auto"/>
        <w:jc w:val="right"/>
        <w:rPr>
          <w:rFonts w:hint="default" w:ascii="宋体" w:hAnsi="宋体"/>
          <w:szCs w:val="21"/>
        </w:rPr>
      </w:pPr>
    </w:p>
    <w:p w14:paraId="2033DA65">
      <w:pPr>
        <w:bidi/>
        <w:spacing w:line="480" w:lineRule="auto"/>
        <w:jc w:val="right"/>
        <w:rPr>
          <w:rFonts w:hint="default" w:ascii="宋体" w:hAnsi="宋体"/>
          <w:szCs w:val="21"/>
        </w:rPr>
      </w:pPr>
      <w:r>
        <w:rPr>
          <w:rFonts w:ascii="宋体" w:hAnsi="宋体"/>
          <w:szCs w:val="21"/>
        </w:rPr>
        <w:t>甲方（盖章）：                          乙方（盖章）：</w:t>
      </w:r>
    </w:p>
    <w:p w14:paraId="4EB95648">
      <w:pPr>
        <w:bidi/>
        <w:spacing w:line="480" w:lineRule="auto"/>
        <w:ind w:firstLine="420" w:firstLineChars="200"/>
        <w:jc w:val="right"/>
        <w:rPr>
          <w:rFonts w:hint="default" w:ascii="宋体" w:hAnsi="宋体"/>
          <w:szCs w:val="21"/>
        </w:rPr>
      </w:pPr>
      <w:r>
        <w:rPr>
          <w:rFonts w:ascii="宋体" w:hAnsi="宋体"/>
          <w:szCs w:val="21"/>
        </w:rPr>
        <w:t>法定代表人（委托代理人）：               法定代表人（委托代理人）：</w:t>
      </w:r>
      <w:r>
        <w:rPr>
          <w:rFonts w:ascii="宋体" w:hAnsi="宋体"/>
          <w:szCs w:val="21"/>
        </w:rPr>
        <w:br w:type="textWrapping"/>
      </w:r>
      <w:r>
        <w:rPr>
          <w:rFonts w:ascii="宋体" w:hAnsi="宋体"/>
          <w:szCs w:val="21"/>
        </w:rPr>
        <w:t>签定日期：   年   月  日          签定日期：   年   月  日</w:t>
      </w:r>
      <w:r>
        <w:rPr>
          <w:rFonts w:ascii="宋体" w:hAnsi="宋体"/>
          <w:szCs w:val="21"/>
        </w:rPr>
        <w:br w:type="textWrapping"/>
      </w:r>
    </w:p>
    <w:p w14:paraId="60CBFCFD">
      <w:pPr>
        <w:bidi/>
        <w:spacing w:line="480" w:lineRule="auto"/>
        <w:ind w:firstLine="420" w:firstLineChars="200"/>
        <w:jc w:val="right"/>
        <w:rPr>
          <w:rFonts w:hint="default" w:ascii="宋体" w:hAnsi="宋体"/>
          <w:szCs w:val="21"/>
        </w:rPr>
      </w:pPr>
    </w:p>
    <w:p w14:paraId="2380992D">
      <w:pPr>
        <w:spacing w:line="480" w:lineRule="auto"/>
        <w:rPr>
          <w:rFonts w:hint="default" w:ascii="仿宋" w:hAnsi="仿宋" w:eastAsia="仿宋" w:cs="仿宋"/>
          <w:b/>
          <w:spacing w:val="40"/>
          <w:szCs w:val="21"/>
        </w:rPr>
      </w:pPr>
      <w:r>
        <w:rPr>
          <w:rFonts w:ascii="仿宋" w:hAnsi="仿宋" w:eastAsia="仿宋" w:cs="仿宋"/>
          <w:b/>
          <w:spacing w:val="40"/>
          <w:szCs w:val="21"/>
        </w:rPr>
        <w:br w:type="page"/>
      </w:r>
    </w:p>
    <w:p w14:paraId="6D6591CB">
      <w:pPr>
        <w:spacing w:line="480" w:lineRule="auto"/>
        <w:jc w:val="center"/>
        <w:rPr>
          <w:rFonts w:hint="default" w:ascii="仿宋" w:hAnsi="仿宋" w:eastAsia="仿宋" w:cs="仿宋"/>
          <w:b/>
          <w:spacing w:val="40"/>
          <w:szCs w:val="21"/>
        </w:rPr>
      </w:pPr>
    </w:p>
    <w:p w14:paraId="079B29CF">
      <w:pPr>
        <w:spacing w:line="480" w:lineRule="auto"/>
        <w:jc w:val="center"/>
        <w:rPr>
          <w:rFonts w:hint="default" w:ascii="仿宋" w:hAnsi="仿宋" w:eastAsia="仿宋" w:cs="仿宋"/>
          <w:b/>
          <w:spacing w:val="40"/>
          <w:sz w:val="48"/>
          <w:szCs w:val="48"/>
        </w:rPr>
      </w:pPr>
      <w:r>
        <w:rPr>
          <w:rFonts w:ascii="仿宋" w:hAnsi="仿宋" w:eastAsia="仿宋" w:cs="仿宋"/>
          <w:b/>
          <w:spacing w:val="40"/>
          <w:sz w:val="48"/>
          <w:szCs w:val="48"/>
        </w:rPr>
        <w:t>合同附件</w:t>
      </w:r>
    </w:p>
    <w:p w14:paraId="3617A560">
      <w:pPr>
        <w:spacing w:line="480" w:lineRule="auto"/>
        <w:rPr>
          <w:rFonts w:hint="default" w:ascii="宋体" w:hAnsi="宋体"/>
          <w:sz w:val="28"/>
          <w:szCs w:val="28"/>
        </w:rPr>
      </w:pPr>
    </w:p>
    <w:p w14:paraId="1BCD9EDA">
      <w:pPr>
        <w:spacing w:line="480" w:lineRule="auto"/>
        <w:jc w:val="left"/>
        <w:rPr>
          <w:rFonts w:hint="default" w:ascii="宋体" w:hAnsi="宋体" w:cs="宋体"/>
          <w:b/>
          <w:bCs/>
          <w:sz w:val="28"/>
          <w:szCs w:val="28"/>
        </w:rPr>
      </w:pPr>
      <w:r>
        <w:rPr>
          <w:rFonts w:ascii="宋体" w:hAnsi="宋体" w:cs="宋体"/>
          <w:b/>
          <w:bCs/>
          <w:sz w:val="28"/>
          <w:szCs w:val="28"/>
        </w:rPr>
        <w:t>附件1  项目服务人员工作范围及要求</w:t>
      </w:r>
    </w:p>
    <w:p w14:paraId="19B37932">
      <w:pPr>
        <w:spacing w:line="480" w:lineRule="auto"/>
        <w:jc w:val="left"/>
        <w:rPr>
          <w:rFonts w:hint="default" w:ascii="宋体" w:hAnsi="宋体" w:cs="宋体"/>
          <w:b/>
          <w:bCs/>
          <w:sz w:val="28"/>
          <w:szCs w:val="28"/>
        </w:rPr>
      </w:pPr>
      <w:r>
        <w:rPr>
          <w:rFonts w:ascii="宋体" w:hAnsi="宋体" w:cs="宋体"/>
          <w:b/>
          <w:bCs/>
          <w:sz w:val="28"/>
          <w:szCs w:val="28"/>
        </w:rPr>
        <w:t>附件2  保密协议</w:t>
      </w:r>
    </w:p>
    <w:p w14:paraId="5C1232AA">
      <w:pPr>
        <w:spacing w:line="480" w:lineRule="auto"/>
        <w:jc w:val="left"/>
        <w:rPr>
          <w:rFonts w:hint="default" w:ascii="宋体" w:hAnsi="宋体" w:cs="宋体"/>
          <w:b/>
          <w:bCs/>
          <w:sz w:val="28"/>
          <w:szCs w:val="28"/>
        </w:rPr>
      </w:pPr>
      <w:r>
        <w:rPr>
          <w:rFonts w:ascii="宋体" w:hAnsi="宋体" w:cs="宋体"/>
          <w:b/>
          <w:bCs/>
          <w:sz w:val="28"/>
          <w:szCs w:val="28"/>
        </w:rPr>
        <w:t>附件3  中标通知书</w:t>
      </w:r>
    </w:p>
    <w:p w14:paraId="50173784">
      <w:pPr>
        <w:spacing w:line="480" w:lineRule="auto"/>
        <w:jc w:val="left"/>
        <w:rPr>
          <w:rFonts w:hint="default" w:ascii="宋体" w:hAnsi="宋体" w:cs="宋体"/>
          <w:b/>
          <w:bCs/>
          <w:sz w:val="28"/>
          <w:szCs w:val="28"/>
        </w:rPr>
      </w:pPr>
    </w:p>
    <w:p w14:paraId="7BFF9459">
      <w:pPr>
        <w:rPr>
          <w:rFonts w:hint="default" w:ascii="宋体" w:hAnsi="宋体" w:cs="宋体"/>
          <w:b/>
          <w:bCs/>
          <w:szCs w:val="21"/>
        </w:rPr>
        <w:sectPr>
          <w:footerReference r:id="rId4" w:type="default"/>
          <w:pgSz w:w="11906" w:h="16838"/>
          <w:pgMar w:top="1417" w:right="1701" w:bottom="1417" w:left="1701" w:header="851" w:footer="992" w:gutter="0"/>
          <w:pgNumType w:start="1"/>
          <w:cols w:space="0" w:num="1"/>
          <w:docGrid w:type="lines" w:linePitch="312" w:charSpace="0"/>
        </w:sectPr>
      </w:pPr>
    </w:p>
    <w:p w14:paraId="7CFBAFBD">
      <w:pPr>
        <w:spacing w:line="360" w:lineRule="auto"/>
        <w:ind w:left="420" w:leftChars="200"/>
        <w:rPr>
          <w:rFonts w:ascii="宋体" w:hAnsi="宋体" w:cs="宋体"/>
          <w:b/>
          <w:bCs/>
          <w:szCs w:val="21"/>
        </w:rPr>
      </w:pPr>
      <w:r>
        <w:rPr>
          <w:rFonts w:ascii="宋体" w:hAnsi="宋体" w:cs="宋体"/>
          <w:b/>
          <w:bCs/>
          <w:szCs w:val="21"/>
        </w:rPr>
        <w:t>附件1:             项目服务人员工作范围及要求</w:t>
      </w:r>
    </w:p>
    <w:p w14:paraId="11F55D61">
      <w:pPr>
        <w:spacing w:line="360" w:lineRule="auto"/>
        <w:ind w:left="420" w:leftChars="200"/>
        <w:rPr>
          <w:rFonts w:hint="default" w:asciiTheme="minorEastAsia" w:hAnsiTheme="minorEastAsia" w:eastAsiaTheme="minorEastAsia" w:cstheme="minorEastAsia"/>
          <w:b/>
          <w:bCs/>
        </w:rPr>
      </w:pPr>
      <w:r>
        <w:rPr>
          <w:rFonts w:ascii="宋体" w:hAnsi="宋体" w:cs="宋体"/>
          <w:b/>
          <w:bCs/>
          <w:szCs w:val="21"/>
        </w:rPr>
        <w:br w:type="textWrapping"/>
      </w:r>
      <w:r>
        <w:rPr>
          <w:rFonts w:asciiTheme="minorEastAsia" w:hAnsiTheme="minorEastAsia" w:eastAsiaTheme="minorEastAsia" w:cstheme="minorEastAsia"/>
          <w:b/>
          <w:bCs/>
        </w:rPr>
        <w:t>1.引导分流岗</w:t>
      </w:r>
    </w:p>
    <w:p w14:paraId="7B08556A">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该岗位主要负责对当事人的材料进行初步审查，并根据材料标准要求指引当事人进行材料补充，如当事人需办理具体窗口业务，根据业务需求为当事人排号，将当事人分流至诉讼大厅休息，等待各接待窗口叫号。同时引导并协助当事人使用现场自助设备，使当事人能够通过自助设备办理所需业务。</w:t>
      </w:r>
    </w:p>
    <w:p w14:paraId="38A731A4">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负责接收分流到诉讼服务组的诉前调解案件，根据诉前调解服务组的分案原则把所收案件分配至各个调解员，同时将调解成功和调解失败的案件进行整理，移送给立案庭</w:t>
      </w:r>
    </w:p>
    <w:p w14:paraId="0F946A93">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2.网上立案材料审核辅助</w:t>
      </w:r>
    </w:p>
    <w:p w14:paraId="22EA5C2C">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结合网上立案的业务流程，设置网上立案材料审核辅助岗位。由网上立案审查组的法官或法官助理完成网上立案信息的审查工作后由辅助人员负责接收网上材料、现场网上立案和非现场网上立案材料的审查校对工作。</w:t>
      </w:r>
    </w:p>
    <w:p w14:paraId="141388D7">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 xml:space="preserve">3.立案窗口材料收集 </w:t>
      </w:r>
    </w:p>
    <w:p w14:paraId="5845B72F">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负责对当事人所提供的材料进行收集，初步审查，分类及现场解答当事人部分简单问题。</w:t>
      </w:r>
    </w:p>
    <w:p w14:paraId="10F4E178">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4.立案信息录入及案件流转</w:t>
      </w:r>
    </w:p>
    <w:p w14:paraId="4721BCF3">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根据立案业务情况，在案件流转中心设置立案信息录入岗人员负责完成院本部民商事类、执行案件信息录入工作，实现当日立案当日完成信息录入，并于24小时内移送至审判业务庭室开展后续工作经立案审查窗口的法官或法官助理完成案件审查，确认符合立案登记条件的，由立案信息录入岗在案件管理系统完成案件信息的录入和立案流转表单制作，并与当事人确认立案相关信息，引导当事人完成相关文书的填写和确认工作。</w:t>
      </w:r>
    </w:p>
    <w:p w14:paraId="19CF5B21">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 xml:space="preserve">5.案件繁简分流、受理通知送达及诉讼费交纳协助 </w:t>
      </w:r>
    </w:p>
    <w:p w14:paraId="779394FC">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配合院内民商事案件繁简分流，每日对新收案件造册交速裁庭进行繁简分流，对其退回的案件进行整理，通知当事人缴费，送达受理通知，辅导当事人进行网上一案一账户交纳诉讼费。</w:t>
      </w:r>
    </w:p>
    <w:p w14:paraId="18CC7810">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6</w:t>
      </w:r>
      <w:r>
        <w:rPr>
          <w:rFonts w:asciiTheme="minorEastAsia" w:hAnsiTheme="minorEastAsia" w:cstheme="minorEastAsia"/>
          <w:b/>
          <w:bCs/>
        </w:rPr>
        <w:t>.</w:t>
      </w:r>
      <w:r>
        <w:rPr>
          <w:rFonts w:asciiTheme="minorEastAsia" w:hAnsiTheme="minorEastAsia" w:eastAsiaTheme="minorEastAsia" w:cstheme="minorEastAsia"/>
          <w:b/>
          <w:bCs/>
        </w:rPr>
        <w:t xml:space="preserve">案件信息查询 </w:t>
      </w:r>
    </w:p>
    <w:p w14:paraId="0168319C">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接收当事人提出的案件查询申请，登记并核实当事人及查询案件的相关信息，协助当事人办理案件查询事宜</w:t>
      </w:r>
    </w:p>
    <w:p w14:paraId="2532F38A">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 xml:space="preserve">7.电话接听 </w:t>
      </w:r>
    </w:p>
    <w:p w14:paraId="01E6BDEC">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为了更好减轻法官团队负担，解决当事人咨询问题快速响应问题设置电话接听岗，当事人可通过拨打服务热线，咨询诉讼审判及执行相关业务流程、查找案件相关业务流程信息，并可以预约法官。服务热线在确认当事人的需求后，根据需求进行当场回复或者转办相关法官团队，法官团队可以根据情况，选择自行回复或者将答复转交服务热线进行回复。</w:t>
      </w:r>
    </w:p>
    <w:p w14:paraId="6268826F">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 xml:space="preserve">8.上诉案件接收、登记及移送 </w:t>
      </w:r>
    </w:p>
    <w:p w14:paraId="762ED985">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审查上诉材料是否符合接收条件，接收符合接收条件的上诉材料并出具收取单;拒收不符合接收条件的上诉材料，并说明原因，同时将上诉状移送法官团队。上诉状扫描至系统进行登记。</w:t>
      </w:r>
    </w:p>
    <w:p w14:paraId="108F2AB6">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9.协助外地法院委托达及司法技术鉴定</w:t>
      </w:r>
    </w:p>
    <w:p w14:paraId="0820F96E">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按照最高法院安排，协助外地法院委托送达案件收取、登记、送达、恢复等事项，需要 1 人配合助理工作。司法技术鉴定需要对案件进行向上线先信息核对，摇号、流转、收取、分配等工作，需要 1人协助法官工作。</w:t>
      </w:r>
    </w:p>
    <w:p w14:paraId="3679C443">
      <w:pPr>
        <w:spacing w:line="360" w:lineRule="auto"/>
        <w:ind w:firstLine="422" w:firstLineChars="200"/>
        <w:rPr>
          <w:rFonts w:hint="default" w:asciiTheme="minorEastAsia" w:hAnsiTheme="minorEastAsia" w:eastAsiaTheme="minorEastAsia" w:cstheme="minorEastAsia"/>
          <w:b/>
          <w:bCs/>
        </w:rPr>
      </w:pPr>
      <w:r>
        <w:rPr>
          <w:rFonts w:asciiTheme="minorEastAsia" w:hAnsiTheme="minorEastAsia" w:eastAsiaTheme="minorEastAsia" w:cstheme="minorEastAsia"/>
          <w:b/>
          <w:bCs/>
        </w:rPr>
        <w:t>10.信访接待登记</w:t>
      </w:r>
    </w:p>
    <w:p w14:paraId="0086B6B4">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为了更好减轻法官团队信访工作负担，在信访中心设定信访辅助岗，每日接收上级法院移送、院内领导转交的信访材料，并进行整理登记，根据材料所涉信息，完成信访系统信息录入、备案工作。</w:t>
      </w:r>
    </w:p>
    <w:p w14:paraId="0764CD1E">
      <w:pPr>
        <w:spacing w:line="360" w:lineRule="auto"/>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rPr>
        <w:t>按照信访材料内容性质,将材料进行分流,对于举报类材料内容将其整理、对非纸质内容进行打印后，移交纪检监察室，对于申请再审类内容，将其整理、对非纸质内容进行打印后，审核是否符合再审规定。若符合，整理相关材料移送至中院立案庭;若不符合，则将信访材料退回当事人并告知其原因，同时，对所有信访事件处理结果进行跟踪，并做好记录反馈。</w:t>
      </w:r>
    </w:p>
    <w:p w14:paraId="1DDCF37F">
      <w:pPr>
        <w:rPr>
          <w:rFonts w:hint="default" w:ascii="宋体" w:hAnsi="宋体" w:cs="宋体"/>
          <w:b/>
          <w:bCs/>
          <w:szCs w:val="21"/>
        </w:rPr>
      </w:pPr>
      <w:r>
        <w:rPr>
          <w:rFonts w:ascii="宋体" w:hAnsi="宋体" w:cs="宋体"/>
          <w:b/>
          <w:bCs/>
          <w:szCs w:val="21"/>
        </w:rPr>
        <w:br w:type="page"/>
      </w:r>
    </w:p>
    <w:p w14:paraId="06637380">
      <w:pPr>
        <w:spacing w:line="480" w:lineRule="auto"/>
        <w:rPr>
          <w:rFonts w:hint="default" w:ascii="宋体" w:hAnsi="宋体" w:cs="宋体"/>
          <w:b/>
          <w:bCs/>
          <w:szCs w:val="21"/>
        </w:rPr>
      </w:pPr>
      <w:r>
        <w:rPr>
          <w:rFonts w:ascii="宋体" w:hAnsi="宋体" w:cs="宋体"/>
          <w:b/>
          <w:bCs/>
          <w:szCs w:val="21"/>
        </w:rPr>
        <w:t>附件2：保密协议</w:t>
      </w:r>
    </w:p>
    <w:p w14:paraId="7332C6D7">
      <w:pPr>
        <w:spacing w:line="360" w:lineRule="auto"/>
        <w:jc w:val="left"/>
        <w:rPr>
          <w:rFonts w:hint="default" w:ascii="宋体" w:hAnsi="宋体"/>
          <w:kern w:val="0"/>
          <w:szCs w:val="21"/>
        </w:rPr>
      </w:pPr>
      <w:r>
        <w:rPr>
          <w:rFonts w:ascii="宋体" w:hAnsi="宋体"/>
          <w:kern w:val="0"/>
          <w:szCs w:val="21"/>
        </w:rPr>
        <w:t>甲方：西安市长安区人民法院</w:t>
      </w:r>
    </w:p>
    <w:p w14:paraId="22F93C02">
      <w:pPr>
        <w:spacing w:line="360" w:lineRule="auto"/>
        <w:jc w:val="left"/>
        <w:rPr>
          <w:rFonts w:hint="default" w:ascii="宋体" w:hAnsi="宋体"/>
          <w:kern w:val="0"/>
          <w:szCs w:val="21"/>
        </w:rPr>
      </w:pPr>
      <w:r>
        <w:rPr>
          <w:rFonts w:ascii="宋体" w:hAnsi="宋体"/>
          <w:kern w:val="0"/>
          <w:szCs w:val="21"/>
        </w:rPr>
        <w:t xml:space="preserve">乙方： </w:t>
      </w:r>
    </w:p>
    <w:p w14:paraId="49810C8B">
      <w:pPr>
        <w:spacing w:line="360" w:lineRule="auto"/>
        <w:ind w:firstLine="420" w:firstLineChars="200"/>
        <w:rPr>
          <w:rFonts w:hint="default" w:ascii="宋体" w:hAnsi="宋体"/>
          <w:kern w:val="0"/>
          <w:szCs w:val="21"/>
        </w:rPr>
      </w:pPr>
    </w:p>
    <w:p w14:paraId="1B740847">
      <w:pPr>
        <w:spacing w:line="360" w:lineRule="auto"/>
        <w:ind w:firstLine="420" w:firstLineChars="200"/>
        <w:rPr>
          <w:rFonts w:hint="default" w:ascii="宋体" w:hAnsi="宋体"/>
          <w:kern w:val="0"/>
          <w:szCs w:val="21"/>
        </w:rPr>
      </w:pPr>
      <w:r>
        <w:rPr>
          <w:rFonts w:ascii="宋体" w:hAnsi="宋体"/>
          <w:kern w:val="0"/>
          <w:szCs w:val="21"/>
        </w:rPr>
        <w:t>乙方为甲方提供服务工作，鉴于甲方系国家机关，工作内容涉国家秘密、集体利益、公民隐私、商业秘密等，乙方派驻甲方人员不能对乙方及第三方泄露甲方的信息，现甲乙双方平等协商，订立本保密协议，明确乙方须遵守以下保密义务，承担相应责任：</w:t>
      </w:r>
    </w:p>
    <w:p w14:paraId="46DDA7F0">
      <w:pPr>
        <w:numPr>
          <w:ilvl w:val="0"/>
          <w:numId w:val="14"/>
        </w:numPr>
        <w:spacing w:line="360" w:lineRule="auto"/>
        <w:rPr>
          <w:rFonts w:hint="default" w:ascii="宋体" w:hAnsi="宋体"/>
          <w:b/>
          <w:bCs/>
          <w:kern w:val="0"/>
          <w:szCs w:val="21"/>
        </w:rPr>
      </w:pPr>
      <w:r>
        <w:rPr>
          <w:rFonts w:ascii="宋体" w:hAnsi="宋体"/>
          <w:b/>
          <w:bCs/>
          <w:kern w:val="0"/>
          <w:szCs w:val="21"/>
        </w:rPr>
        <w:t>保密内容和范围</w:t>
      </w:r>
    </w:p>
    <w:p w14:paraId="1ABF1C61">
      <w:pPr>
        <w:spacing w:line="360" w:lineRule="auto"/>
        <w:ind w:firstLine="420" w:firstLineChars="200"/>
        <w:rPr>
          <w:rFonts w:hint="default" w:ascii="宋体" w:hAnsi="宋体"/>
          <w:kern w:val="0"/>
          <w:szCs w:val="21"/>
        </w:rPr>
      </w:pPr>
      <w:r>
        <w:rPr>
          <w:rFonts w:ascii="宋体" w:hAnsi="宋体"/>
          <w:kern w:val="0"/>
          <w:szCs w:val="21"/>
        </w:rPr>
        <w:t>1、当事人信息：案件当事人身份、住址、工作和联系方式及其代理人等信息；</w:t>
      </w:r>
    </w:p>
    <w:p w14:paraId="7DBD27A4">
      <w:pPr>
        <w:spacing w:line="360" w:lineRule="auto"/>
        <w:ind w:firstLine="420" w:firstLineChars="200"/>
        <w:rPr>
          <w:rFonts w:hint="default" w:ascii="宋体" w:hAnsi="宋体"/>
          <w:kern w:val="0"/>
          <w:szCs w:val="21"/>
        </w:rPr>
      </w:pPr>
      <w:r>
        <w:rPr>
          <w:rFonts w:ascii="宋体" w:hAnsi="宋体"/>
          <w:kern w:val="0"/>
          <w:szCs w:val="21"/>
        </w:rPr>
        <w:t>2、审理信息：从立案、审理、判决、送达、生效等任何一项程序信息及其案卷材料；</w:t>
      </w:r>
    </w:p>
    <w:p w14:paraId="39EE2EF5">
      <w:pPr>
        <w:spacing w:line="360" w:lineRule="auto"/>
        <w:ind w:firstLine="420" w:firstLineChars="200"/>
        <w:rPr>
          <w:rFonts w:hint="default" w:ascii="宋体" w:hAnsi="宋体"/>
          <w:kern w:val="0"/>
          <w:szCs w:val="21"/>
        </w:rPr>
      </w:pPr>
      <w:r>
        <w:rPr>
          <w:rFonts w:ascii="宋体" w:hAnsi="宋体"/>
          <w:kern w:val="0"/>
          <w:szCs w:val="21"/>
        </w:rPr>
        <w:t>3、事实信息：与案情相关的证据材料和事实信息；</w:t>
      </w:r>
    </w:p>
    <w:p w14:paraId="05E742D5">
      <w:pPr>
        <w:spacing w:line="360" w:lineRule="auto"/>
        <w:ind w:firstLine="420" w:firstLineChars="200"/>
        <w:rPr>
          <w:rFonts w:hint="default" w:ascii="宋体" w:hAnsi="宋体"/>
          <w:kern w:val="0"/>
          <w:szCs w:val="21"/>
        </w:rPr>
      </w:pPr>
      <w:r>
        <w:rPr>
          <w:rFonts w:ascii="宋体" w:hAnsi="宋体"/>
          <w:kern w:val="0"/>
          <w:szCs w:val="21"/>
        </w:rPr>
        <w:t>4、审判人员信息：承办单位、承办法官及其审判组成人员和法官助理信息；</w:t>
      </w:r>
    </w:p>
    <w:p w14:paraId="11EAA2B4">
      <w:pPr>
        <w:spacing w:line="360" w:lineRule="auto"/>
        <w:ind w:firstLine="420" w:firstLineChars="200"/>
        <w:rPr>
          <w:rFonts w:hint="default" w:ascii="宋体" w:hAnsi="宋体"/>
          <w:kern w:val="0"/>
          <w:szCs w:val="21"/>
        </w:rPr>
      </w:pPr>
      <w:r>
        <w:rPr>
          <w:rFonts w:ascii="宋体" w:hAnsi="宋体"/>
          <w:kern w:val="0"/>
          <w:szCs w:val="21"/>
        </w:rPr>
        <w:t>5、法院其他信息：乙方在提供社会化服务过程中获得的保密性信息以及其他一切与甲方事务有关的保密信息。</w:t>
      </w:r>
    </w:p>
    <w:p w14:paraId="3720CE8F">
      <w:pPr>
        <w:numPr>
          <w:ilvl w:val="0"/>
          <w:numId w:val="14"/>
        </w:numPr>
        <w:spacing w:line="360" w:lineRule="auto"/>
        <w:rPr>
          <w:rFonts w:hint="default" w:ascii="宋体" w:hAnsi="宋体"/>
          <w:b/>
          <w:bCs/>
          <w:kern w:val="0"/>
          <w:szCs w:val="21"/>
        </w:rPr>
      </w:pPr>
      <w:r>
        <w:rPr>
          <w:rFonts w:ascii="宋体" w:hAnsi="宋体"/>
          <w:b/>
          <w:bCs/>
          <w:kern w:val="0"/>
          <w:szCs w:val="21"/>
        </w:rPr>
        <w:t xml:space="preserve">  保密义务</w:t>
      </w:r>
    </w:p>
    <w:p w14:paraId="3FA4480A">
      <w:pPr>
        <w:spacing w:line="360" w:lineRule="auto"/>
        <w:ind w:firstLine="420" w:firstLineChars="200"/>
        <w:rPr>
          <w:rFonts w:hint="default" w:ascii="宋体" w:hAnsi="宋体"/>
          <w:kern w:val="0"/>
          <w:szCs w:val="21"/>
        </w:rPr>
      </w:pPr>
      <w:r>
        <w:rPr>
          <w:rFonts w:ascii="宋体" w:hAnsi="宋体"/>
          <w:kern w:val="0"/>
          <w:szCs w:val="21"/>
        </w:rPr>
        <w:t>对甲方的保密性信息，除遵守国家法律和法院保密制度以外，乙方及其员工还须承担以下义务：</w:t>
      </w:r>
    </w:p>
    <w:p w14:paraId="0BFDB653">
      <w:pPr>
        <w:spacing w:line="360" w:lineRule="auto"/>
        <w:ind w:firstLine="420" w:firstLineChars="200"/>
        <w:rPr>
          <w:rFonts w:hint="default" w:ascii="宋体" w:hAnsi="宋体"/>
          <w:kern w:val="0"/>
          <w:szCs w:val="21"/>
        </w:rPr>
      </w:pPr>
      <w:r>
        <w:rPr>
          <w:rFonts w:ascii="宋体" w:hAnsi="宋体"/>
          <w:kern w:val="0"/>
          <w:szCs w:val="21"/>
        </w:rPr>
        <w:t>1、不得打探与本职工作或本身业务无关的保密性信息；</w:t>
      </w:r>
    </w:p>
    <w:p w14:paraId="57536491">
      <w:pPr>
        <w:spacing w:line="360" w:lineRule="auto"/>
        <w:ind w:firstLine="420" w:firstLineChars="200"/>
        <w:rPr>
          <w:rFonts w:hint="default" w:ascii="宋体" w:hAnsi="宋体"/>
          <w:kern w:val="0"/>
          <w:szCs w:val="21"/>
        </w:rPr>
      </w:pPr>
      <w:r>
        <w:rPr>
          <w:rFonts w:ascii="宋体" w:hAnsi="宋体"/>
          <w:kern w:val="0"/>
          <w:szCs w:val="21"/>
        </w:rPr>
        <w:t>2、不得泄露案件的审批、呈批、合议信息；</w:t>
      </w:r>
    </w:p>
    <w:p w14:paraId="093C7CC0">
      <w:pPr>
        <w:spacing w:line="360" w:lineRule="auto"/>
        <w:ind w:firstLine="420" w:firstLineChars="200"/>
        <w:rPr>
          <w:rFonts w:hint="default" w:ascii="宋体" w:hAnsi="宋体"/>
          <w:kern w:val="0"/>
          <w:szCs w:val="21"/>
        </w:rPr>
      </w:pPr>
      <w:r>
        <w:rPr>
          <w:rFonts w:ascii="宋体" w:hAnsi="宋体"/>
          <w:kern w:val="0"/>
          <w:szCs w:val="21"/>
        </w:rPr>
        <w:t>3、不得向除当事人及其代理人和辩护人之外的任何第三人泄露承办法官和法官助理信息；</w:t>
      </w:r>
    </w:p>
    <w:p w14:paraId="6B08A01F">
      <w:pPr>
        <w:spacing w:line="360" w:lineRule="auto"/>
        <w:ind w:firstLine="420" w:firstLineChars="200"/>
        <w:rPr>
          <w:rFonts w:hint="default" w:ascii="宋体" w:hAnsi="宋体"/>
          <w:kern w:val="0"/>
          <w:szCs w:val="21"/>
        </w:rPr>
      </w:pPr>
      <w:r>
        <w:rPr>
          <w:rFonts w:ascii="宋体" w:hAnsi="宋体"/>
          <w:kern w:val="0"/>
          <w:szCs w:val="21"/>
        </w:rPr>
        <w:t>4、不得在决定书、调解书、裁定书、判决书等法律文书公开和生效之前向当事人及其代理人及任何第三方泄露法官处理意见和法律文书内容；</w:t>
      </w:r>
    </w:p>
    <w:p w14:paraId="3BA800FA">
      <w:pPr>
        <w:spacing w:line="360" w:lineRule="auto"/>
        <w:ind w:firstLine="420" w:firstLineChars="200"/>
        <w:rPr>
          <w:rFonts w:hint="default" w:ascii="宋体" w:hAnsi="宋体"/>
          <w:kern w:val="0"/>
          <w:szCs w:val="21"/>
        </w:rPr>
      </w:pPr>
      <w:r>
        <w:rPr>
          <w:rFonts w:ascii="宋体" w:hAnsi="宋体"/>
          <w:kern w:val="0"/>
          <w:szCs w:val="21"/>
        </w:rPr>
        <w:t>5、不得在甲方计算机USB接口上使用任何外接设备（U盘、移动硬盘、光盘等）和手机充电，不得将计算机上的信息复制、保存到外接设备中；不得随意录入、修改和删除法院局域网文件信息，严禁私自接入互联网；</w:t>
      </w:r>
    </w:p>
    <w:p w14:paraId="156B19A2">
      <w:pPr>
        <w:spacing w:line="360" w:lineRule="auto"/>
        <w:ind w:firstLine="420" w:firstLineChars="200"/>
        <w:rPr>
          <w:rFonts w:hint="default" w:ascii="宋体" w:hAnsi="宋体"/>
          <w:kern w:val="0"/>
          <w:szCs w:val="21"/>
        </w:rPr>
      </w:pPr>
      <w:r>
        <w:rPr>
          <w:rFonts w:ascii="宋体" w:hAnsi="宋体"/>
          <w:kern w:val="0"/>
          <w:szCs w:val="21"/>
        </w:rPr>
        <w:t>6、不得对甲方工作人员、工作场所和办公设备及其案件文书材料进行拍照、录音、录像；</w:t>
      </w:r>
    </w:p>
    <w:p w14:paraId="02125FD0">
      <w:pPr>
        <w:spacing w:line="360" w:lineRule="auto"/>
        <w:ind w:firstLine="420" w:firstLineChars="200"/>
        <w:rPr>
          <w:rFonts w:hint="default" w:ascii="宋体" w:hAnsi="宋体"/>
          <w:kern w:val="0"/>
          <w:szCs w:val="21"/>
        </w:rPr>
      </w:pPr>
      <w:r>
        <w:rPr>
          <w:rFonts w:ascii="宋体" w:hAnsi="宋体"/>
          <w:kern w:val="0"/>
          <w:szCs w:val="21"/>
        </w:rPr>
        <w:t>7、不得将诉讼卷宗等资料携带外出；应妥善保管案卷材料，谢绝无关人员查阅，防止遗失和泄露；</w:t>
      </w:r>
    </w:p>
    <w:p w14:paraId="24B3D7C1">
      <w:pPr>
        <w:spacing w:line="360" w:lineRule="auto"/>
        <w:ind w:firstLine="420" w:firstLineChars="200"/>
        <w:rPr>
          <w:rFonts w:hint="default" w:ascii="宋体" w:hAnsi="宋体"/>
          <w:kern w:val="0"/>
          <w:szCs w:val="21"/>
        </w:rPr>
      </w:pPr>
      <w:r>
        <w:rPr>
          <w:rFonts w:ascii="宋体" w:hAnsi="宋体"/>
          <w:kern w:val="0"/>
          <w:szCs w:val="21"/>
        </w:rPr>
        <w:t>8、不得在私人交往和通讯过程中泄露审判秘密和其他保密信息；</w:t>
      </w:r>
    </w:p>
    <w:p w14:paraId="647CD726">
      <w:pPr>
        <w:spacing w:line="360" w:lineRule="auto"/>
        <w:ind w:firstLine="420" w:firstLineChars="200"/>
        <w:rPr>
          <w:rFonts w:hint="default" w:ascii="宋体" w:hAnsi="宋体"/>
          <w:kern w:val="0"/>
          <w:szCs w:val="21"/>
        </w:rPr>
      </w:pPr>
      <w:r>
        <w:rPr>
          <w:rFonts w:ascii="宋体" w:hAnsi="宋体"/>
          <w:kern w:val="0"/>
          <w:szCs w:val="21"/>
        </w:rPr>
        <w:t>9、不得在公共场合谈论案件信息，不得将案件信息公开到网络媒体和其他公共场所；</w:t>
      </w:r>
    </w:p>
    <w:p w14:paraId="2442DFD5">
      <w:pPr>
        <w:spacing w:line="360" w:lineRule="auto"/>
        <w:ind w:firstLine="420" w:firstLineChars="200"/>
        <w:rPr>
          <w:rFonts w:hint="default" w:ascii="宋体" w:hAnsi="宋体"/>
          <w:kern w:val="0"/>
          <w:szCs w:val="21"/>
        </w:rPr>
      </w:pPr>
      <w:r>
        <w:rPr>
          <w:rFonts w:ascii="宋体" w:hAnsi="宋体"/>
          <w:kern w:val="0"/>
          <w:szCs w:val="21"/>
        </w:rPr>
        <w:t>10、不得违反法院保密制度的规定，保密制度为保密协议的附件，与保密协议具有同等效力。</w:t>
      </w:r>
    </w:p>
    <w:p w14:paraId="4E3D4EC8">
      <w:pPr>
        <w:numPr>
          <w:ilvl w:val="0"/>
          <w:numId w:val="14"/>
        </w:numPr>
        <w:spacing w:line="360" w:lineRule="auto"/>
        <w:rPr>
          <w:rFonts w:hint="default" w:ascii="宋体" w:hAnsi="宋体"/>
          <w:b/>
          <w:bCs/>
          <w:kern w:val="0"/>
          <w:szCs w:val="21"/>
        </w:rPr>
      </w:pPr>
      <w:r>
        <w:rPr>
          <w:rFonts w:ascii="宋体" w:hAnsi="宋体"/>
          <w:b/>
          <w:bCs/>
          <w:kern w:val="0"/>
          <w:szCs w:val="21"/>
        </w:rPr>
        <w:t xml:space="preserve">  保密期限</w:t>
      </w:r>
    </w:p>
    <w:p w14:paraId="5CDDC1C7">
      <w:pPr>
        <w:spacing w:line="360" w:lineRule="auto"/>
        <w:ind w:firstLine="420" w:firstLineChars="200"/>
        <w:rPr>
          <w:rFonts w:hint="default" w:ascii="宋体" w:hAnsi="宋体"/>
          <w:kern w:val="0"/>
          <w:szCs w:val="21"/>
        </w:rPr>
      </w:pPr>
      <w:r>
        <w:rPr>
          <w:rFonts w:ascii="宋体" w:hAnsi="宋体"/>
          <w:kern w:val="0"/>
          <w:szCs w:val="21"/>
        </w:rPr>
        <w:t>甲、乙双方确认，乙方的保密义务自保密协议签订之日起生效，但签订之前已经获得的信息也在保密之列，直到相关信息依法公开为止。乙方员工是否在职，不影响保密义务的承担。</w:t>
      </w:r>
    </w:p>
    <w:p w14:paraId="34CDB778">
      <w:pPr>
        <w:numPr>
          <w:ilvl w:val="0"/>
          <w:numId w:val="14"/>
        </w:numPr>
        <w:spacing w:line="360" w:lineRule="auto"/>
        <w:rPr>
          <w:rFonts w:hint="default" w:ascii="宋体" w:hAnsi="宋体"/>
          <w:b/>
          <w:bCs/>
          <w:kern w:val="0"/>
          <w:szCs w:val="21"/>
        </w:rPr>
      </w:pPr>
      <w:r>
        <w:rPr>
          <w:rFonts w:ascii="宋体" w:hAnsi="宋体"/>
          <w:b/>
          <w:bCs/>
          <w:kern w:val="0"/>
          <w:szCs w:val="21"/>
        </w:rPr>
        <w:t xml:space="preserve">  违约责任</w:t>
      </w:r>
    </w:p>
    <w:p w14:paraId="715ACEC1">
      <w:pPr>
        <w:spacing w:line="360" w:lineRule="auto"/>
        <w:ind w:firstLine="420" w:firstLineChars="200"/>
        <w:rPr>
          <w:rFonts w:hint="default" w:ascii="宋体" w:hAnsi="宋体"/>
          <w:kern w:val="0"/>
          <w:szCs w:val="21"/>
        </w:rPr>
      </w:pPr>
      <w:r>
        <w:rPr>
          <w:rFonts w:ascii="宋体" w:hAnsi="宋体"/>
          <w:kern w:val="0"/>
          <w:szCs w:val="21"/>
        </w:rPr>
        <w:t>1、乙方员工违反此协议约定的，视为乙方违反此协议。乙方违反此协议的甲方有权解除与乙方的外包合同。</w:t>
      </w:r>
    </w:p>
    <w:p w14:paraId="6EC843E8">
      <w:pPr>
        <w:spacing w:line="360" w:lineRule="auto"/>
        <w:ind w:firstLine="420" w:firstLineChars="200"/>
        <w:rPr>
          <w:rFonts w:hint="default" w:ascii="宋体" w:hAnsi="宋体"/>
          <w:kern w:val="0"/>
          <w:szCs w:val="21"/>
        </w:rPr>
      </w:pPr>
      <w:r>
        <w:rPr>
          <w:rFonts w:ascii="宋体" w:hAnsi="宋体"/>
          <w:kern w:val="0"/>
          <w:szCs w:val="21"/>
        </w:rPr>
        <w:t>2、乙方违反协议中的保密义务，应当承担违约责任。甲方有权拒绝支付当月的外包服务费，乙方相关人员构成犯罪的，依法追究刑事责任。</w:t>
      </w:r>
    </w:p>
    <w:p w14:paraId="5CD29C05">
      <w:pPr>
        <w:spacing w:line="360" w:lineRule="auto"/>
        <w:ind w:firstLine="420" w:firstLineChars="200"/>
        <w:rPr>
          <w:rFonts w:hint="default" w:ascii="宋体" w:hAnsi="宋体"/>
          <w:kern w:val="0"/>
          <w:szCs w:val="21"/>
        </w:rPr>
      </w:pPr>
      <w:r>
        <w:rPr>
          <w:rFonts w:ascii="宋体" w:hAnsi="宋体"/>
          <w:kern w:val="0"/>
          <w:szCs w:val="21"/>
        </w:rPr>
        <w:t>3、乙方因泄露甲方涉密信息致使甲方遭受损失的，乙方应承担相应赔偿责任。</w:t>
      </w:r>
    </w:p>
    <w:p w14:paraId="31D7F7BA">
      <w:pPr>
        <w:spacing w:line="360" w:lineRule="auto"/>
        <w:rPr>
          <w:rFonts w:hint="default" w:ascii="宋体" w:hAnsi="宋体"/>
          <w:kern w:val="0"/>
          <w:szCs w:val="21"/>
        </w:rPr>
      </w:pPr>
    </w:p>
    <w:p w14:paraId="6990084B">
      <w:pPr>
        <w:pStyle w:val="2"/>
        <w:numPr>
          <w:ilvl w:val="1"/>
          <w:numId w:val="0"/>
        </w:numPr>
        <w:jc w:val="both"/>
        <w:rPr>
          <w:rFonts w:hint="default"/>
        </w:rPr>
      </w:pPr>
    </w:p>
    <w:p w14:paraId="5A632A55">
      <w:pPr>
        <w:spacing w:line="360" w:lineRule="auto"/>
        <w:ind w:firstLine="420" w:firstLineChars="200"/>
        <w:rPr>
          <w:rFonts w:hint="default"/>
          <w:szCs w:val="21"/>
        </w:rPr>
      </w:pPr>
    </w:p>
    <w:p w14:paraId="7B0AEC7C">
      <w:pPr>
        <w:spacing w:line="360" w:lineRule="auto"/>
        <w:ind w:firstLine="420" w:firstLineChars="200"/>
        <w:jc w:val="left"/>
        <w:rPr>
          <w:rFonts w:hint="default"/>
          <w:szCs w:val="21"/>
        </w:rPr>
      </w:pPr>
      <w:r>
        <w:rPr>
          <w:rFonts w:ascii="宋体" w:hAnsi="宋体"/>
          <w:kern w:val="0"/>
          <w:szCs w:val="21"/>
        </w:rPr>
        <w:t>甲方：                               乙方：</w:t>
      </w:r>
    </w:p>
    <w:p w14:paraId="34BC54EB">
      <w:pPr>
        <w:spacing w:line="360" w:lineRule="auto"/>
        <w:ind w:firstLine="420" w:firstLineChars="200"/>
        <w:jc w:val="left"/>
        <w:rPr>
          <w:rFonts w:hint="default" w:ascii="宋体" w:hAnsi="宋体"/>
          <w:kern w:val="0"/>
          <w:szCs w:val="21"/>
        </w:rPr>
      </w:pPr>
    </w:p>
    <w:p w14:paraId="1D5537D3">
      <w:pPr>
        <w:spacing w:line="360" w:lineRule="auto"/>
        <w:ind w:firstLine="420" w:firstLineChars="200"/>
        <w:jc w:val="left"/>
        <w:rPr>
          <w:rFonts w:hint="default" w:ascii="宋体" w:hAnsi="宋体"/>
          <w:kern w:val="0"/>
          <w:szCs w:val="21"/>
        </w:rPr>
      </w:pPr>
      <w:r>
        <w:rPr>
          <w:rFonts w:ascii="宋体" w:hAnsi="宋体"/>
          <w:kern w:val="0"/>
          <w:szCs w:val="21"/>
        </w:rPr>
        <w:t>代表签名（盖章）：                   代表签名（盖章）：</w:t>
      </w:r>
    </w:p>
    <w:p w14:paraId="19A44224">
      <w:pPr>
        <w:spacing w:line="360" w:lineRule="auto"/>
        <w:ind w:firstLine="420" w:firstLineChars="200"/>
        <w:jc w:val="left"/>
        <w:rPr>
          <w:rFonts w:hint="default" w:ascii="宋体" w:hAnsi="宋体"/>
          <w:kern w:val="0"/>
          <w:szCs w:val="21"/>
        </w:rPr>
      </w:pPr>
    </w:p>
    <w:p w14:paraId="7B5404F2">
      <w:pPr>
        <w:spacing w:line="360" w:lineRule="auto"/>
        <w:ind w:firstLine="420" w:firstLineChars="200"/>
        <w:jc w:val="left"/>
        <w:rPr>
          <w:rFonts w:hint="default" w:ascii="宋体" w:hAnsi="宋体"/>
          <w:kern w:val="0"/>
          <w:szCs w:val="21"/>
        </w:rPr>
        <w:sectPr>
          <w:pgSz w:w="11906" w:h="16838"/>
          <w:pgMar w:top="1417" w:right="1701" w:bottom="1417" w:left="1701" w:header="851" w:footer="992" w:gutter="0"/>
          <w:cols w:space="0" w:num="1"/>
          <w:docGrid w:type="lines" w:linePitch="312" w:charSpace="0"/>
        </w:sectPr>
      </w:pPr>
      <w:r>
        <w:rPr>
          <w:rFonts w:ascii="宋体" w:hAnsi="宋体"/>
          <w:kern w:val="0"/>
          <w:szCs w:val="21"/>
        </w:rPr>
        <w:t>日期：  年   月   日                 日期：  年   月   日</w:t>
      </w:r>
    </w:p>
    <w:p w14:paraId="495F3796">
      <w:pPr>
        <w:spacing w:line="480" w:lineRule="auto"/>
        <w:rPr>
          <w:rFonts w:hint="default" w:ascii="宋体" w:hAnsi="宋体"/>
        </w:rPr>
        <w:sectPr>
          <w:pgSz w:w="11906" w:h="16838"/>
          <w:pgMar w:top="1417" w:right="1701" w:bottom="1417" w:left="1701" w:header="851" w:footer="992" w:gutter="0"/>
          <w:cols w:space="0" w:num="1"/>
          <w:docGrid w:type="lines" w:linePitch="312" w:charSpace="0"/>
        </w:sectPr>
      </w:pPr>
      <w:r>
        <w:rPr>
          <w:rFonts w:ascii="宋体" w:hAnsi="宋体" w:cs="宋体"/>
          <w:b/>
          <w:bCs/>
          <w:szCs w:val="21"/>
        </w:rPr>
        <w:t>附件3：中标通知书</w:t>
      </w:r>
    </w:p>
    <w:p w14:paraId="019F0052">
      <w:pPr>
        <w:pStyle w:val="2"/>
        <w:numPr>
          <w:ilvl w:val="1"/>
          <w:numId w:val="0"/>
        </w:numPr>
        <w:jc w:val="both"/>
        <w:rPr>
          <w:rFonts w:hint="default"/>
        </w:rPr>
      </w:pPr>
    </w:p>
    <w:sectPr>
      <w:footerReference r:id="rId5" w:type="default"/>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G Times">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087DB">
    <w:pPr>
      <w:pStyle w:val="8"/>
      <w:rPr>
        <w:rFonts w:hint="default"/>
      </w:rPr>
    </w:pPr>
  </w:p>
  <w:p w14:paraId="10035EED">
    <w:pPr>
      <w:pStyle w:val="8"/>
      <w:rPr>
        <w:rFonts w:hint="default"/>
      </w:rPr>
    </w:pPr>
    <w:r>
      <w:rPr>
        <w:rFonts w:hint="default"/>
      </w:rPr>
      <w:pict>
        <v:shape id="_x0000_s1026" o:spid="_x0000_s1026" o:spt="202" type="#_x0000_t202" style="position:absolute;left:0pt;margin-left:161.05pt;margin-top:-3.8pt;height:27.65pt;width:81.05pt;mso-position-horizontal-relative:margin;z-index:251659264;mso-width-relative:page;mso-height-relative:page;" filled="f" stroked="f" coordsize="21600,21600" o:gfxdata="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h5Htg&#10;2AAAAAkBAAAPAAAAAAAAAAEAIAAAACIAAABkcnMvZG93bnJldi54bWxQSwECFAAUAAAACACHTuJA&#10;vzcz9SECAAAiBAAADgAAAAAAAAABACAAAAAnAQAAZHJzL2Uyb0RvYy54bWxQSwUGAAAAAAYABgBZ&#10;AQAAugUAAAAA&#10;">
          <v:path/>
          <v:fill on="f" focussize="0,0"/>
          <v:stroke on="f" weight="0.5pt" joinstyle="miter"/>
          <v:imagedata o:title=""/>
          <o:lock v:ext="edit"/>
          <v:textbox inset="0mm,0mm,0mm,0mm">
            <w:txbxContent>
              <w:p w14:paraId="07B3FCC6">
                <w:pPr>
                  <w:pStyle w:val="8"/>
                  <w:rPr>
                    <w:rFonts w:hint="default"/>
                  </w:rPr>
                </w:pPr>
                <w:r>
                  <w:t xml:space="preserve">第 </w:t>
                </w:r>
                <w:r>
                  <w:fldChar w:fldCharType="begin"/>
                </w:r>
                <w:r>
                  <w:instrText xml:space="preserve"> PAGE  \* MERGEFORMAT </w:instrText>
                </w:r>
                <w:r>
                  <w:fldChar w:fldCharType="separate"/>
                </w:r>
                <w:r>
                  <w:rPr>
                    <w:rFonts w:hint="default"/>
                  </w:rPr>
                  <w:t>1</w:t>
                </w:r>
                <w:r>
                  <w:fldChar w:fldCharType="end"/>
                </w:r>
                <w:r>
                  <w:t xml:space="preserve"> 页 共 14页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938B2">
    <w:pPr>
      <w:pStyle w:val="8"/>
      <w:rPr>
        <w:rFonts w:hint="default"/>
      </w:rPr>
    </w:pPr>
  </w:p>
  <w:p w14:paraId="2A3B5378">
    <w:pPr>
      <w:pStyle w:val="8"/>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2E4CB">
    <w:pPr>
      <w:pStyle w:val="9"/>
      <w:pBdr>
        <w:bottom w:val="none" w:color="auto" w:sz="0" w:space="1"/>
      </w:pBdr>
      <w:rPr>
        <w:rFonts w:hint="default" w:ascii="宋体"/>
        <w:color w:val="FF000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9F17A"/>
    <w:multiLevelType w:val="singleLevel"/>
    <w:tmpl w:val="8069F17A"/>
    <w:lvl w:ilvl="0" w:tentative="0">
      <w:start w:val="1"/>
      <w:numFmt w:val="decimal"/>
      <w:suff w:val="nothing"/>
      <w:lvlText w:val="%1、"/>
      <w:lvlJc w:val="left"/>
      <w:pPr>
        <w:ind w:left="0" w:firstLine="403"/>
      </w:pPr>
      <w:rPr>
        <w:rFonts w:hint="default"/>
      </w:rPr>
    </w:lvl>
  </w:abstractNum>
  <w:abstractNum w:abstractNumId="1">
    <w:nsid w:val="A1A89462"/>
    <w:multiLevelType w:val="singleLevel"/>
    <w:tmpl w:val="A1A89462"/>
    <w:lvl w:ilvl="0" w:tentative="0">
      <w:start w:val="1"/>
      <w:numFmt w:val="decimal"/>
      <w:suff w:val="nothing"/>
      <w:lvlText w:val="%1、"/>
      <w:lvlJc w:val="left"/>
      <w:pPr>
        <w:tabs>
          <w:tab w:val="left" w:pos="0"/>
        </w:tabs>
        <w:ind w:left="0" w:firstLine="403"/>
      </w:pPr>
      <w:rPr>
        <w:rFonts w:hint="default"/>
      </w:rPr>
    </w:lvl>
  </w:abstractNum>
  <w:abstractNum w:abstractNumId="2">
    <w:nsid w:val="B03138F8"/>
    <w:multiLevelType w:val="singleLevel"/>
    <w:tmpl w:val="B03138F8"/>
    <w:lvl w:ilvl="0" w:tentative="0">
      <w:start w:val="1"/>
      <w:numFmt w:val="decimal"/>
      <w:suff w:val="nothing"/>
      <w:lvlText w:val="%1、"/>
      <w:lvlJc w:val="left"/>
      <w:pPr>
        <w:ind w:left="0" w:firstLine="403"/>
      </w:pPr>
      <w:rPr>
        <w:rFonts w:hint="default"/>
      </w:rPr>
    </w:lvl>
  </w:abstractNum>
  <w:abstractNum w:abstractNumId="3">
    <w:nsid w:val="DC5ACF03"/>
    <w:multiLevelType w:val="singleLevel"/>
    <w:tmpl w:val="DC5ACF03"/>
    <w:lvl w:ilvl="0" w:tentative="0">
      <w:start w:val="1"/>
      <w:numFmt w:val="decimal"/>
      <w:suff w:val="nothing"/>
      <w:lvlText w:val="%1、"/>
      <w:lvlJc w:val="left"/>
      <w:pPr>
        <w:tabs>
          <w:tab w:val="left" w:pos="0"/>
        </w:tabs>
        <w:ind w:left="0" w:firstLine="403"/>
      </w:pPr>
      <w:rPr>
        <w:rFonts w:hint="default"/>
      </w:rPr>
    </w:lvl>
  </w:abstractNum>
  <w:abstractNum w:abstractNumId="4">
    <w:nsid w:val="DCEBFBF2"/>
    <w:multiLevelType w:val="singleLevel"/>
    <w:tmpl w:val="DCEBFBF2"/>
    <w:lvl w:ilvl="0" w:tentative="0">
      <w:start w:val="1"/>
      <w:numFmt w:val="decimal"/>
      <w:suff w:val="nothing"/>
      <w:lvlText w:val="(%1)"/>
      <w:lvlJc w:val="left"/>
      <w:pPr>
        <w:tabs>
          <w:tab w:val="left" w:pos="0"/>
        </w:tabs>
        <w:ind w:left="0" w:firstLine="403"/>
      </w:pPr>
      <w:rPr>
        <w:rFonts w:hint="default" w:ascii="宋体" w:hAnsi="宋体" w:eastAsia="宋体" w:cs="宋体"/>
      </w:rPr>
    </w:lvl>
  </w:abstractNum>
  <w:abstractNum w:abstractNumId="5">
    <w:nsid w:val="E6ABCEC2"/>
    <w:multiLevelType w:val="singleLevel"/>
    <w:tmpl w:val="E6ABCEC2"/>
    <w:lvl w:ilvl="0" w:tentative="0">
      <w:start w:val="1"/>
      <w:numFmt w:val="chineseCounting"/>
      <w:suff w:val="nothing"/>
      <w:lvlText w:val="%1、"/>
      <w:lvlJc w:val="left"/>
      <w:pPr>
        <w:ind w:left="0" w:firstLine="420"/>
      </w:pPr>
      <w:rPr>
        <w:rFonts w:hint="eastAsia"/>
      </w:rPr>
    </w:lvl>
  </w:abstractNum>
  <w:abstractNum w:abstractNumId="6">
    <w:nsid w:val="ECA54E39"/>
    <w:multiLevelType w:val="singleLevel"/>
    <w:tmpl w:val="ECA54E39"/>
    <w:lvl w:ilvl="0" w:tentative="0">
      <w:start w:val="1"/>
      <w:numFmt w:val="decimal"/>
      <w:suff w:val="nothing"/>
      <w:lvlText w:val="%1、"/>
      <w:lvlJc w:val="left"/>
      <w:pPr>
        <w:ind w:left="0" w:firstLine="403"/>
      </w:pPr>
      <w:rPr>
        <w:rFonts w:hint="default"/>
        <w:b w:val="0"/>
        <w:bCs w:val="0"/>
        <w:color w:val="auto"/>
      </w:rPr>
    </w:lvl>
  </w:abstractNum>
  <w:abstractNum w:abstractNumId="7">
    <w:nsid w:val="F0FC8368"/>
    <w:multiLevelType w:val="singleLevel"/>
    <w:tmpl w:val="F0FC8368"/>
    <w:lvl w:ilvl="0" w:tentative="0">
      <w:start w:val="1"/>
      <w:numFmt w:val="decimal"/>
      <w:suff w:val="nothing"/>
      <w:lvlText w:val="%1、"/>
      <w:lvlJc w:val="left"/>
    </w:lvl>
  </w:abstractNum>
  <w:abstractNum w:abstractNumId="8">
    <w:nsid w:val="00000004"/>
    <w:multiLevelType w:val="multilevel"/>
    <w:tmpl w:val="00000004"/>
    <w:lvl w:ilvl="0" w:tentative="0">
      <w:start w:val="1"/>
      <w:numFmt w:val="chineseCountingThousand"/>
      <w:suff w:val="nothing"/>
      <w:lvlText w:val="第%1部分"/>
      <w:lvlJc w:val="left"/>
      <w:pPr>
        <w:ind w:left="0" w:firstLine="0"/>
      </w:pPr>
      <w:rPr>
        <w:rFonts w:hint="eastAsia" w:ascii="黑体" w:eastAsia="黑体"/>
        <w:sz w:val="32"/>
      </w:rPr>
    </w:lvl>
    <w:lvl w:ilvl="1" w:tentative="0">
      <w:start w:val="1"/>
      <w:numFmt w:val="upperLetter"/>
      <w:pStyle w:val="2"/>
      <w:suff w:val="nothing"/>
      <w:lvlText w:val="%2"/>
      <w:lvlJc w:val="left"/>
      <w:pPr>
        <w:ind w:left="0" w:firstLine="0"/>
      </w:pPr>
      <w:rPr>
        <w:rFonts w:hint="default" w:ascii="CG Times" w:hAnsi="CG Times"/>
        <w:b/>
        <w:i w:val="0"/>
        <w:sz w:val="28"/>
      </w:rPr>
    </w:lvl>
    <w:lvl w:ilvl="2" w:tentative="0">
      <w:start w:val="1"/>
      <w:numFmt w:val="decimal"/>
      <w:suff w:val="nothing"/>
      <w:lvlText w:val="%3"/>
      <w:lvlJc w:val="left"/>
      <w:pPr>
        <w:ind w:left="0" w:firstLine="0"/>
      </w:pPr>
      <w:rPr>
        <w:rFonts w:hint="eastAsia" w:ascii="宋体" w:hAnsi="Times New Roman" w:eastAsia="宋体"/>
        <w:b/>
        <w:i w:val="0"/>
        <w:sz w:val="28"/>
      </w:r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9">
    <w:nsid w:val="0278394E"/>
    <w:multiLevelType w:val="singleLevel"/>
    <w:tmpl w:val="0278394E"/>
    <w:lvl w:ilvl="0" w:tentative="0">
      <w:start w:val="1"/>
      <w:numFmt w:val="decimal"/>
      <w:suff w:val="nothing"/>
      <w:lvlText w:val="%1、"/>
      <w:lvlJc w:val="left"/>
      <w:pPr>
        <w:ind w:left="0" w:firstLine="403"/>
      </w:pPr>
      <w:rPr>
        <w:rFonts w:hint="default"/>
      </w:rPr>
    </w:lvl>
  </w:abstractNum>
  <w:abstractNum w:abstractNumId="10">
    <w:nsid w:val="1FA3CBDE"/>
    <w:multiLevelType w:val="singleLevel"/>
    <w:tmpl w:val="1FA3CBDE"/>
    <w:lvl w:ilvl="0" w:tentative="0">
      <w:start w:val="1"/>
      <w:numFmt w:val="decimal"/>
      <w:suff w:val="nothing"/>
      <w:lvlText w:val="%1、"/>
      <w:lvlJc w:val="left"/>
      <w:pPr>
        <w:ind w:left="0" w:firstLine="403"/>
      </w:pPr>
      <w:rPr>
        <w:rFonts w:hint="default"/>
      </w:rPr>
    </w:lvl>
  </w:abstractNum>
  <w:abstractNum w:abstractNumId="11">
    <w:nsid w:val="21262F85"/>
    <w:multiLevelType w:val="singleLevel"/>
    <w:tmpl w:val="21262F85"/>
    <w:lvl w:ilvl="0" w:tentative="0">
      <w:start w:val="1"/>
      <w:numFmt w:val="decimal"/>
      <w:suff w:val="nothing"/>
      <w:lvlText w:val="(%1)"/>
      <w:lvlJc w:val="left"/>
      <w:pPr>
        <w:tabs>
          <w:tab w:val="left" w:pos="0"/>
        </w:tabs>
        <w:ind w:left="0" w:firstLine="403"/>
      </w:pPr>
      <w:rPr>
        <w:rFonts w:hint="default" w:ascii="宋体" w:hAnsi="宋体" w:eastAsia="宋体" w:cs="宋体"/>
      </w:rPr>
    </w:lvl>
  </w:abstractNum>
  <w:abstractNum w:abstractNumId="12">
    <w:nsid w:val="4963E073"/>
    <w:multiLevelType w:val="singleLevel"/>
    <w:tmpl w:val="4963E073"/>
    <w:lvl w:ilvl="0" w:tentative="0">
      <w:start w:val="1"/>
      <w:numFmt w:val="decimal"/>
      <w:suff w:val="nothing"/>
      <w:lvlText w:val="%1、"/>
      <w:lvlJc w:val="left"/>
      <w:pPr>
        <w:ind w:left="0" w:firstLine="403"/>
      </w:pPr>
      <w:rPr>
        <w:rFonts w:hint="default"/>
      </w:rPr>
    </w:lvl>
  </w:abstractNum>
  <w:abstractNum w:abstractNumId="13">
    <w:nsid w:val="613A2B24"/>
    <w:multiLevelType w:val="singleLevel"/>
    <w:tmpl w:val="613A2B24"/>
    <w:lvl w:ilvl="0" w:tentative="0">
      <w:start w:val="1"/>
      <w:numFmt w:val="chineseCounting"/>
      <w:suff w:val="nothing"/>
      <w:lvlText w:val="%1、"/>
      <w:lvlJc w:val="left"/>
      <w:pPr>
        <w:ind w:left="0" w:firstLine="420"/>
      </w:pPr>
      <w:rPr>
        <w:rFonts w:hint="eastAsia"/>
      </w:rPr>
    </w:lvl>
  </w:abstractNum>
  <w:num w:numId="1">
    <w:abstractNumId w:val="8"/>
  </w:num>
  <w:num w:numId="2">
    <w:abstractNumId w:val="13"/>
  </w:num>
  <w:num w:numId="3">
    <w:abstractNumId w:val="12"/>
  </w:num>
  <w:num w:numId="4">
    <w:abstractNumId w:val="3"/>
  </w:num>
  <w:num w:numId="5">
    <w:abstractNumId w:val="1"/>
  </w:num>
  <w:num w:numId="6">
    <w:abstractNumId w:val="7"/>
  </w:num>
  <w:num w:numId="7">
    <w:abstractNumId w:val="6"/>
  </w:num>
  <w:num w:numId="8">
    <w:abstractNumId w:val="4"/>
  </w:num>
  <w:num w:numId="9">
    <w:abstractNumId w:val="11"/>
  </w:num>
  <w:num w:numId="10">
    <w:abstractNumId w:val="9"/>
  </w:num>
  <w:num w:numId="11">
    <w:abstractNumId w:val="0"/>
  </w:num>
  <w:num w:numId="12">
    <w:abstractNumId w:val="2"/>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Q3NjQxYmZmN2ZkODIxYWNiNTEzMzQyMTZmNzQ1MmMifQ=="/>
  </w:docVars>
  <w:rsids>
    <w:rsidRoot w:val="30B10CE9"/>
    <w:rsid w:val="00036B26"/>
    <w:rsid w:val="001317BF"/>
    <w:rsid w:val="001C6409"/>
    <w:rsid w:val="00222920"/>
    <w:rsid w:val="0026777E"/>
    <w:rsid w:val="002E5BEE"/>
    <w:rsid w:val="00310E3F"/>
    <w:rsid w:val="003A3B72"/>
    <w:rsid w:val="003F41F7"/>
    <w:rsid w:val="00464058"/>
    <w:rsid w:val="0056175E"/>
    <w:rsid w:val="00600545"/>
    <w:rsid w:val="00640DE9"/>
    <w:rsid w:val="006658E6"/>
    <w:rsid w:val="0068390C"/>
    <w:rsid w:val="006A378B"/>
    <w:rsid w:val="00706B0D"/>
    <w:rsid w:val="007434A4"/>
    <w:rsid w:val="007550FD"/>
    <w:rsid w:val="00796C6B"/>
    <w:rsid w:val="008C2374"/>
    <w:rsid w:val="00910D82"/>
    <w:rsid w:val="00997EB1"/>
    <w:rsid w:val="00A615C5"/>
    <w:rsid w:val="00AB1CDA"/>
    <w:rsid w:val="00AD50F4"/>
    <w:rsid w:val="00BA1965"/>
    <w:rsid w:val="00BE051D"/>
    <w:rsid w:val="00C62567"/>
    <w:rsid w:val="00E55F01"/>
    <w:rsid w:val="00F25364"/>
    <w:rsid w:val="00FA4DB5"/>
    <w:rsid w:val="00FE3A9C"/>
    <w:rsid w:val="01DD1E9F"/>
    <w:rsid w:val="02CD6F6C"/>
    <w:rsid w:val="039F3374"/>
    <w:rsid w:val="040354C1"/>
    <w:rsid w:val="043774CE"/>
    <w:rsid w:val="04377CAC"/>
    <w:rsid w:val="04B21CBD"/>
    <w:rsid w:val="05197692"/>
    <w:rsid w:val="05A13D6E"/>
    <w:rsid w:val="06AA7197"/>
    <w:rsid w:val="07CB38AD"/>
    <w:rsid w:val="07D45335"/>
    <w:rsid w:val="07F35324"/>
    <w:rsid w:val="09183B2A"/>
    <w:rsid w:val="093C0060"/>
    <w:rsid w:val="0B4517D7"/>
    <w:rsid w:val="0B475B6B"/>
    <w:rsid w:val="0C4F3F57"/>
    <w:rsid w:val="0C8C19D8"/>
    <w:rsid w:val="0C975D4D"/>
    <w:rsid w:val="0D877DFC"/>
    <w:rsid w:val="0DA62345"/>
    <w:rsid w:val="0E734403"/>
    <w:rsid w:val="0F900C9C"/>
    <w:rsid w:val="100342D8"/>
    <w:rsid w:val="10040735"/>
    <w:rsid w:val="10DC0C8F"/>
    <w:rsid w:val="111317B2"/>
    <w:rsid w:val="1248500D"/>
    <w:rsid w:val="12BF4092"/>
    <w:rsid w:val="13CB5F40"/>
    <w:rsid w:val="1412070C"/>
    <w:rsid w:val="14355B53"/>
    <w:rsid w:val="14427E21"/>
    <w:rsid w:val="144374FB"/>
    <w:rsid w:val="148314D2"/>
    <w:rsid w:val="15A2788F"/>
    <w:rsid w:val="15CD1AA9"/>
    <w:rsid w:val="15F8370E"/>
    <w:rsid w:val="163A5496"/>
    <w:rsid w:val="168E3310"/>
    <w:rsid w:val="16D07C2F"/>
    <w:rsid w:val="16E627DC"/>
    <w:rsid w:val="16F01F64"/>
    <w:rsid w:val="17561FAB"/>
    <w:rsid w:val="17CC20B5"/>
    <w:rsid w:val="183363E4"/>
    <w:rsid w:val="193F6D25"/>
    <w:rsid w:val="196A5302"/>
    <w:rsid w:val="1A271AB1"/>
    <w:rsid w:val="1AEE25CF"/>
    <w:rsid w:val="1B4A1404"/>
    <w:rsid w:val="1B9D49E0"/>
    <w:rsid w:val="1BDB761A"/>
    <w:rsid w:val="1C495B4B"/>
    <w:rsid w:val="1D160E0B"/>
    <w:rsid w:val="1D8D0590"/>
    <w:rsid w:val="1D970CFC"/>
    <w:rsid w:val="1DAA2041"/>
    <w:rsid w:val="1DAC3E97"/>
    <w:rsid w:val="1DDB5C50"/>
    <w:rsid w:val="1EE943C4"/>
    <w:rsid w:val="1F29561F"/>
    <w:rsid w:val="1F2A2BC8"/>
    <w:rsid w:val="1FD331DC"/>
    <w:rsid w:val="21E17D75"/>
    <w:rsid w:val="231E45C3"/>
    <w:rsid w:val="231E732C"/>
    <w:rsid w:val="233E2193"/>
    <w:rsid w:val="233F338F"/>
    <w:rsid w:val="2575716B"/>
    <w:rsid w:val="26204CDF"/>
    <w:rsid w:val="26546104"/>
    <w:rsid w:val="265D1AE6"/>
    <w:rsid w:val="26634B0D"/>
    <w:rsid w:val="27B34B2C"/>
    <w:rsid w:val="27EE70AB"/>
    <w:rsid w:val="27FE46BF"/>
    <w:rsid w:val="286E70F6"/>
    <w:rsid w:val="289F3376"/>
    <w:rsid w:val="28A51BF0"/>
    <w:rsid w:val="28AC7A78"/>
    <w:rsid w:val="28BA6FBA"/>
    <w:rsid w:val="29D623D4"/>
    <w:rsid w:val="2AD8793E"/>
    <w:rsid w:val="2ADF67D6"/>
    <w:rsid w:val="2B822FEC"/>
    <w:rsid w:val="2BFA4EE8"/>
    <w:rsid w:val="2D4D13D7"/>
    <w:rsid w:val="2D4E2C04"/>
    <w:rsid w:val="2E0322E7"/>
    <w:rsid w:val="2E161428"/>
    <w:rsid w:val="2E3353B2"/>
    <w:rsid w:val="2EC735A1"/>
    <w:rsid w:val="2EF05760"/>
    <w:rsid w:val="2EF576F6"/>
    <w:rsid w:val="30B10CE9"/>
    <w:rsid w:val="31107843"/>
    <w:rsid w:val="31C97AD6"/>
    <w:rsid w:val="331E5836"/>
    <w:rsid w:val="33B3485F"/>
    <w:rsid w:val="33BE0038"/>
    <w:rsid w:val="34B85CD0"/>
    <w:rsid w:val="3505348E"/>
    <w:rsid w:val="350D15E3"/>
    <w:rsid w:val="35260E8C"/>
    <w:rsid w:val="359741F3"/>
    <w:rsid w:val="35DD7F89"/>
    <w:rsid w:val="36D613F6"/>
    <w:rsid w:val="36EB369C"/>
    <w:rsid w:val="373109C6"/>
    <w:rsid w:val="37D5459D"/>
    <w:rsid w:val="389C0641"/>
    <w:rsid w:val="3AEB1466"/>
    <w:rsid w:val="3B9A612F"/>
    <w:rsid w:val="3BBA79E7"/>
    <w:rsid w:val="3CDE798D"/>
    <w:rsid w:val="3D98206A"/>
    <w:rsid w:val="3E9A6508"/>
    <w:rsid w:val="40A763E0"/>
    <w:rsid w:val="40AB3210"/>
    <w:rsid w:val="4129750D"/>
    <w:rsid w:val="41313346"/>
    <w:rsid w:val="420B6873"/>
    <w:rsid w:val="42480EDA"/>
    <w:rsid w:val="4307469D"/>
    <w:rsid w:val="43522B56"/>
    <w:rsid w:val="43821A26"/>
    <w:rsid w:val="44DE5445"/>
    <w:rsid w:val="45390AB1"/>
    <w:rsid w:val="453C6C6A"/>
    <w:rsid w:val="455A3410"/>
    <w:rsid w:val="48352AF8"/>
    <w:rsid w:val="49CE033F"/>
    <w:rsid w:val="4A900BAC"/>
    <w:rsid w:val="4B054ACE"/>
    <w:rsid w:val="4B353CD2"/>
    <w:rsid w:val="4BEA5573"/>
    <w:rsid w:val="4C30299C"/>
    <w:rsid w:val="4D897D99"/>
    <w:rsid w:val="4DB973B5"/>
    <w:rsid w:val="4E956DDB"/>
    <w:rsid w:val="4F1813ED"/>
    <w:rsid w:val="4F1A7E8F"/>
    <w:rsid w:val="4F5450F9"/>
    <w:rsid w:val="4F677D3B"/>
    <w:rsid w:val="516C2DC1"/>
    <w:rsid w:val="51716C55"/>
    <w:rsid w:val="51AB0F8D"/>
    <w:rsid w:val="51FA302C"/>
    <w:rsid w:val="520963D5"/>
    <w:rsid w:val="53D51980"/>
    <w:rsid w:val="564F29E4"/>
    <w:rsid w:val="587F7C40"/>
    <w:rsid w:val="58A70DA5"/>
    <w:rsid w:val="594006C5"/>
    <w:rsid w:val="59E22D24"/>
    <w:rsid w:val="5A1C76D7"/>
    <w:rsid w:val="5A882D5F"/>
    <w:rsid w:val="5B2F1F99"/>
    <w:rsid w:val="5B6C20E7"/>
    <w:rsid w:val="5EEB7AEE"/>
    <w:rsid w:val="5F15163F"/>
    <w:rsid w:val="5F9A72E0"/>
    <w:rsid w:val="5FD320DF"/>
    <w:rsid w:val="60980395"/>
    <w:rsid w:val="60D37D2D"/>
    <w:rsid w:val="613C7568"/>
    <w:rsid w:val="61972BC7"/>
    <w:rsid w:val="62586510"/>
    <w:rsid w:val="627C4756"/>
    <w:rsid w:val="62C407A6"/>
    <w:rsid w:val="62CB40D1"/>
    <w:rsid w:val="62F56A36"/>
    <w:rsid w:val="63B70278"/>
    <w:rsid w:val="645D6AA5"/>
    <w:rsid w:val="654818C2"/>
    <w:rsid w:val="65725874"/>
    <w:rsid w:val="66084B25"/>
    <w:rsid w:val="662775B7"/>
    <w:rsid w:val="68ED57FC"/>
    <w:rsid w:val="69684BE4"/>
    <w:rsid w:val="697651B0"/>
    <w:rsid w:val="69C77840"/>
    <w:rsid w:val="6A1B112C"/>
    <w:rsid w:val="6A681023"/>
    <w:rsid w:val="6A932E31"/>
    <w:rsid w:val="6A971908"/>
    <w:rsid w:val="6ADA54BB"/>
    <w:rsid w:val="6B727C58"/>
    <w:rsid w:val="6B841640"/>
    <w:rsid w:val="6D2C35C0"/>
    <w:rsid w:val="6E6603CC"/>
    <w:rsid w:val="6E7B56E3"/>
    <w:rsid w:val="6E992BB6"/>
    <w:rsid w:val="6F420EF3"/>
    <w:rsid w:val="6F4436E1"/>
    <w:rsid w:val="7167036E"/>
    <w:rsid w:val="71C2652B"/>
    <w:rsid w:val="72A5093A"/>
    <w:rsid w:val="73AC0AE6"/>
    <w:rsid w:val="73D46F45"/>
    <w:rsid w:val="73FD76CC"/>
    <w:rsid w:val="74D82EF1"/>
    <w:rsid w:val="757214E9"/>
    <w:rsid w:val="76BD0CE3"/>
    <w:rsid w:val="776961E5"/>
    <w:rsid w:val="7771778B"/>
    <w:rsid w:val="7874535A"/>
    <w:rsid w:val="789E2C50"/>
    <w:rsid w:val="79E0724F"/>
    <w:rsid w:val="7A2E382A"/>
    <w:rsid w:val="7A441124"/>
    <w:rsid w:val="7ABC5E17"/>
    <w:rsid w:val="7AE521EC"/>
    <w:rsid w:val="7B8F47AB"/>
    <w:rsid w:val="7BAF66F9"/>
    <w:rsid w:val="7BB029B8"/>
    <w:rsid w:val="7BE965F2"/>
    <w:rsid w:val="7D64052E"/>
    <w:rsid w:val="7E6A0A64"/>
    <w:rsid w:val="7EEC2BAD"/>
    <w:rsid w:val="7F7974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spacing w:before="260" w:after="260" w:line="412" w:lineRule="auto"/>
      <w:jc w:val="center"/>
      <w:outlineLvl w:val="1"/>
    </w:pPr>
    <w:rPr>
      <w:rFonts w:ascii="CG Times" w:hAnsi="CG Times" w:cs="宋体"/>
      <w:sz w:val="3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qFormat/>
    <w:uiPriority w:val="0"/>
    <w:pPr>
      <w:jc w:val="left"/>
    </w:pPr>
  </w:style>
  <w:style w:type="paragraph" w:styleId="4">
    <w:name w:val="Body Text"/>
    <w:basedOn w:val="1"/>
    <w:next w:val="5"/>
    <w:unhideWhenUsed/>
    <w:qFormat/>
    <w:uiPriority w:val="99"/>
    <w:pPr>
      <w:widowControl/>
      <w:jc w:val="left"/>
    </w:pPr>
    <w:rPr>
      <w:color w:val="000000"/>
      <w:kern w:val="0"/>
    </w:rPr>
  </w:style>
  <w:style w:type="paragraph" w:styleId="5">
    <w:name w:val="toc 5"/>
    <w:basedOn w:val="1"/>
    <w:next w:val="1"/>
    <w:qFormat/>
    <w:uiPriority w:val="0"/>
    <w:pPr>
      <w:ind w:left="1680" w:leftChars="800"/>
    </w:pPr>
    <w:rPr>
      <w:szCs w:val="24"/>
    </w:rPr>
  </w:style>
  <w:style w:type="paragraph" w:styleId="6">
    <w:name w:val="Body Text Indent"/>
    <w:basedOn w:val="1"/>
    <w:qFormat/>
    <w:uiPriority w:val="0"/>
    <w:pPr>
      <w:ind w:firstLine="630"/>
    </w:pPr>
    <w:rPr>
      <w:sz w:val="32"/>
    </w:rPr>
  </w:style>
  <w:style w:type="paragraph" w:styleId="7">
    <w:name w:val="Balloon Text"/>
    <w:basedOn w:val="1"/>
    <w:link w:val="26"/>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rPr>
  </w:style>
  <w:style w:type="paragraph" w:styleId="10">
    <w:name w:val="Normal (Web)"/>
    <w:basedOn w:val="1"/>
    <w:unhideWhenUsed/>
    <w:qFormat/>
    <w:uiPriority w:val="99"/>
    <w:pPr>
      <w:widowControl/>
      <w:spacing w:beforeAutospacing="1" w:afterAutospacing="1"/>
      <w:jc w:val="left"/>
    </w:pPr>
    <w:rPr>
      <w:rFonts w:ascii="宋体" w:hAnsi="宋体"/>
      <w:kern w:val="0"/>
      <w:sz w:val="24"/>
    </w:rPr>
  </w:style>
  <w:style w:type="paragraph" w:styleId="11">
    <w:name w:val="annotation subject"/>
    <w:basedOn w:val="3"/>
    <w:next w:val="3"/>
    <w:link w:val="25"/>
    <w:qFormat/>
    <w:uiPriority w:val="0"/>
    <w:rPr>
      <w:b/>
      <w:bCs/>
    </w:rPr>
  </w:style>
  <w:style w:type="paragraph" w:styleId="12">
    <w:name w:val="Body Text First Indent 2"/>
    <w:basedOn w:val="6"/>
    <w:qFormat/>
    <w:uiPriority w:val="0"/>
    <w:pPr>
      <w:spacing w:after="120"/>
      <w:ind w:left="420" w:leftChars="200" w:firstLine="420" w:firstLineChars="200"/>
    </w:pPr>
    <w:rPr>
      <w:sz w:val="21"/>
      <w:szCs w:val="24"/>
    </w:rPr>
  </w:style>
  <w:style w:type="character" w:styleId="15">
    <w:name w:val="Emphasis"/>
    <w:basedOn w:val="14"/>
    <w:qFormat/>
    <w:uiPriority w:val="0"/>
    <w:rPr>
      <w:i/>
    </w:rPr>
  </w:style>
  <w:style w:type="character" w:styleId="16">
    <w:name w:val="annotation reference"/>
    <w:basedOn w:val="14"/>
    <w:qFormat/>
    <w:uiPriority w:val="0"/>
    <w:rPr>
      <w:sz w:val="21"/>
      <w:szCs w:val="21"/>
    </w:rPr>
  </w:style>
  <w:style w:type="paragraph" w:customStyle="1" w:styleId="17">
    <w:name w:val="S正文"/>
    <w:basedOn w:val="1"/>
    <w:qFormat/>
    <w:uiPriority w:val="0"/>
    <w:pPr>
      <w:adjustRightInd w:val="0"/>
      <w:spacing w:line="360" w:lineRule="auto"/>
      <w:ind w:firstLine="200" w:firstLineChars="200"/>
      <w:jc w:val="left"/>
      <w:textAlignment w:val="baseline"/>
    </w:pPr>
    <w:rPr>
      <w:kern w:val="0"/>
      <w:sz w:val="24"/>
    </w:rPr>
  </w:style>
  <w:style w:type="paragraph" w:customStyle="1" w:styleId="18">
    <w:name w:val="列出段落3"/>
    <w:basedOn w:val="1"/>
    <w:unhideWhenUsed/>
    <w:qFormat/>
    <w:uiPriority w:val="99"/>
    <w:pPr>
      <w:widowControl/>
      <w:ind w:firstLine="420" w:firstLineChars="200"/>
      <w:jc w:val="left"/>
    </w:pPr>
    <w:rPr>
      <w:color w:val="000000"/>
      <w:kern w:val="0"/>
    </w:rPr>
  </w:style>
  <w:style w:type="paragraph" w:customStyle="1" w:styleId="19">
    <w:name w:val="列出段落12"/>
    <w:basedOn w:val="1"/>
    <w:unhideWhenUsed/>
    <w:qFormat/>
    <w:uiPriority w:val="0"/>
    <w:pPr>
      <w:spacing w:line="360" w:lineRule="auto"/>
      <w:ind w:firstLine="420"/>
    </w:pPr>
    <w:rPr>
      <w:color w:val="000000"/>
      <w:kern w:val="1"/>
      <w:sz w:val="24"/>
    </w:rPr>
  </w:style>
  <w:style w:type="paragraph" w:customStyle="1" w:styleId="20">
    <w:name w:val="列表段落1"/>
    <w:basedOn w:val="1"/>
    <w:unhideWhenUsed/>
    <w:qFormat/>
    <w:uiPriority w:val="99"/>
    <w:pPr>
      <w:ind w:firstLine="420" w:firstLineChars="200"/>
    </w:pPr>
  </w:style>
  <w:style w:type="paragraph" w:styleId="21">
    <w:name w:val="List Paragraph"/>
    <w:basedOn w:val="1"/>
    <w:unhideWhenUsed/>
    <w:qFormat/>
    <w:uiPriority w:val="34"/>
    <w:pPr>
      <w:ind w:firstLine="420" w:firstLineChars="200"/>
    </w:pPr>
  </w:style>
  <w:style w:type="character" w:customStyle="1" w:styleId="22">
    <w:name w:val="font31"/>
    <w:basedOn w:val="14"/>
    <w:qFormat/>
    <w:uiPriority w:val="0"/>
    <w:rPr>
      <w:rFonts w:hint="eastAsia" w:ascii="宋体" w:hAnsi="宋体" w:eastAsia="宋体" w:cs="宋体"/>
      <w:color w:val="000000"/>
      <w:sz w:val="21"/>
      <w:szCs w:val="21"/>
      <w:u w:val="none"/>
    </w:rPr>
  </w:style>
  <w:style w:type="character" w:customStyle="1" w:styleId="23">
    <w:name w:val="font71"/>
    <w:basedOn w:val="14"/>
    <w:qFormat/>
    <w:uiPriority w:val="0"/>
    <w:rPr>
      <w:rFonts w:hint="eastAsia" w:ascii="宋体" w:hAnsi="宋体" w:eastAsia="宋体" w:cs="宋体"/>
      <w:color w:val="FF0000"/>
      <w:sz w:val="21"/>
      <w:szCs w:val="21"/>
      <w:u w:val="none"/>
    </w:rPr>
  </w:style>
  <w:style w:type="character" w:customStyle="1" w:styleId="24">
    <w:name w:val="批注文字 Char"/>
    <w:basedOn w:val="14"/>
    <w:link w:val="3"/>
    <w:qFormat/>
    <w:uiPriority w:val="0"/>
    <w:rPr>
      <w:kern w:val="2"/>
      <w:sz w:val="21"/>
    </w:rPr>
  </w:style>
  <w:style w:type="character" w:customStyle="1" w:styleId="25">
    <w:name w:val="批注主题 Char"/>
    <w:basedOn w:val="24"/>
    <w:link w:val="11"/>
    <w:qFormat/>
    <w:uiPriority w:val="0"/>
  </w:style>
  <w:style w:type="character" w:customStyle="1" w:styleId="26">
    <w:name w:val="批注框文本 Char"/>
    <w:basedOn w:val="14"/>
    <w:link w:val="7"/>
    <w:qFormat/>
    <w:uiPriority w:val="0"/>
    <w:rPr>
      <w:kern w:val="2"/>
      <w:sz w:val="18"/>
      <w:szCs w:val="18"/>
    </w:rPr>
  </w:style>
  <w:style w:type="paragraph" w:customStyle="1" w:styleId="27">
    <w:name w:val="样式 首行缩进:  2 字符"/>
    <w:basedOn w:val="1"/>
    <w:qFormat/>
    <w:uiPriority w:val="0"/>
    <w:pPr>
      <w:spacing w:line="400" w:lineRule="exact"/>
      <w:ind w:firstLine="200" w:firstLineChars="200"/>
    </w:pPr>
    <w:rPr>
      <w:rFonts w:cs="宋体"/>
      <w:sz w:val="24"/>
    </w:rPr>
  </w:style>
  <w:style w:type="paragraph" w:customStyle="1" w:styleId="28">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5985</Words>
  <Characters>6077</Characters>
  <Lines>49</Lines>
  <Paragraphs>13</Paragraphs>
  <TotalTime>2</TotalTime>
  <ScaleCrop>false</ScaleCrop>
  <LinksUpToDate>false</LinksUpToDate>
  <CharactersWithSpaces>6467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2024-08-23T03:22:00Z</dcterms:created>
  <dc:creator>Administrator</dc:creator>
  <cp:lastModifiedBy>泽元不迷糊</cp:lastModifiedBy>
  <cp:lastPrinted>2023-12-19T02:58:00Z</cp:lastPrinted>
  <dcterms:modified xsi:type="dcterms:W3CDTF">2025-04-28T02:43:35Z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F22E5D40339C4C80950FD986B6EFC4C5_13</vt:lpwstr>
  </property>
  <property fmtid="{D5CDD505-2E9C-101B-9397-08002B2CF9AE}" pid="4" name="KSOTemplateDocerSaveRecord">
    <vt:lpwstr>eyJoZGlkIjoiNTU5NWViNGQ2ZDJiMzM1ZGU4N2ZmNTg2MjhhOTdhYTEiLCJ1c2VySWQiOiIxODg0NjE1NyJ9</vt:lpwstr>
  </property>
</Properties>
</file>