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版本号：0701-2541SXo5001220250513004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其他修缮及维修服务项目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0701-2541SXo50012</w:t>
      </w:r>
      <w:r>
        <w:br/>
      </w:r>
      <w:r>
        <w:br/>
      </w:r>
      <w:r>
        <w:br/>
      </w:r>
    </w:p>
    <w:p>
      <w:pPr>
        <w:pStyle w:val="null3"/>
        <w:jc w:val="center"/>
        <w:outlineLvl w:val="2"/>
      </w:pPr>
      <w:r>
        <w:rPr>
          <w:rFonts w:ascii="仿宋_GB2312" w:hAnsi="仿宋_GB2312" w:cs="仿宋_GB2312" w:eastAsia="仿宋_GB2312"/>
          <w:sz w:val="28"/>
          <w:b/>
        </w:rPr>
        <w:t>西安市三民村垃圾处理中转站</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西安市三民村垃圾处理中转站</w:t>
      </w:r>
      <w:r>
        <w:rPr>
          <w:rFonts w:ascii="仿宋_GB2312" w:hAnsi="仿宋_GB2312" w:cs="仿宋_GB2312" w:eastAsia="仿宋_GB2312"/>
        </w:rPr>
        <w:t>委托，拟对</w:t>
      </w:r>
      <w:r>
        <w:rPr>
          <w:rFonts w:ascii="仿宋_GB2312" w:hAnsi="仿宋_GB2312" w:cs="仿宋_GB2312" w:eastAsia="仿宋_GB2312"/>
        </w:rPr>
        <w:t>其他修缮及维修服务项目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0701-2541SXo50012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其他修缮及维修服务项目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为西安市三民村垃圾处理中转站提供其他修缮及维修服务，详见磋商文件技术参数。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采购包1（其他修缮及维修服务项目）：属于专门面向中小企业采购。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西安市三民村垃圾处理中转站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西安市莲湖区大兴西路45号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18291413012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代理服务费收费标准：参照国家计委颁发的《招标代理服务收费管理暂行办法》(计价格[2002]1980号)规定的招标代理服务收费标准下浮22%计算收取。 户名：中技国际招标有限公司 开户行：中国银行总行营业部 账号：778350010653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西安市三民村垃圾处理中转站</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西安市三民村垃圾处理中转站</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西安市三民村垃圾处理中转站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为西安市三民村垃圾处理中转站提供其他修缮及维修服务，详见磋商文件技术参数。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652,000.00</w:t>
      </w:r>
    </w:p>
    <w:p>
      <w:pPr>
        <w:pStyle w:val="null3"/>
      </w:pPr>
      <w:r>
        <w:rPr>
          <w:rFonts w:ascii="仿宋_GB2312" w:hAnsi="仿宋_GB2312" w:cs="仿宋_GB2312" w:eastAsia="仿宋_GB2312"/>
        </w:rPr>
        <w:t>采购包最高限价（元）: 652,000.00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其他修缮及维修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标的名称：其他修缮及维修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w:t>
            </w:r>
            <w:r>
              <w:rPr>
                <w:rFonts w:ascii="仿宋_GB2312" w:hAnsi="仿宋_GB2312" w:cs="仿宋_GB2312" w:eastAsia="仿宋_GB2312"/>
                <w:sz w:val="18"/>
              </w:rPr>
              <w:t>服务内容及要求</w:t>
            </w:r>
          </w:p>
          <w:p>
            <w:pPr>
              <w:pStyle w:val="null3"/>
            </w:pPr>
            <w:r>
              <w:rPr>
                <w:rFonts w:ascii="仿宋_GB2312" w:hAnsi="仿宋_GB2312" w:cs="仿宋_GB2312" w:eastAsia="仿宋_GB2312"/>
                <w:sz w:val="18"/>
              </w:rPr>
              <w:t>（一）专业设施维护</w:t>
            </w:r>
          </w:p>
          <w:p>
            <w:pPr>
              <w:pStyle w:val="null3"/>
              <w:jc w:val="both"/>
            </w:pPr>
            <w:r>
              <w:rPr>
                <w:rFonts w:ascii="仿宋_GB2312" w:hAnsi="仿宋_GB2312" w:cs="仿宋_GB2312" w:eastAsia="仿宋_GB2312"/>
                <w:sz w:val="18"/>
              </w:rPr>
              <w:t>1.特种设备类（锅炉、暖气管道、压力管道）</w:t>
            </w:r>
          </w:p>
          <w:p>
            <w:pPr>
              <w:pStyle w:val="null3"/>
              <w:jc w:val="both"/>
            </w:pPr>
            <w:r>
              <w:rPr>
                <w:rFonts w:ascii="仿宋_GB2312" w:hAnsi="仿宋_GB2312" w:cs="仿宋_GB2312" w:eastAsia="仿宋_GB2312"/>
                <w:sz w:val="18"/>
              </w:rPr>
              <w:t>1.执行《特种设备安全法》，锅炉 / 暖气管道分别落实月度巡检（≥1 次 / 月）、年度深度保养 / 检修，建立运行记录台账。</w:t>
            </w:r>
          </w:p>
          <w:p>
            <w:pPr>
              <w:pStyle w:val="null3"/>
              <w:jc w:val="both"/>
            </w:pPr>
            <w:r>
              <w:rPr>
                <w:rFonts w:ascii="仿宋_GB2312" w:hAnsi="仿宋_GB2312" w:cs="仿宋_GB2312" w:eastAsia="仿宋_GB2312"/>
                <w:sz w:val="18"/>
              </w:rPr>
              <w:t>2.供暖季前完成暖气管道全系统压力测试，供暖期每日巡检；锅炉应急故障处理需 30 分钟内响应。</w:t>
            </w:r>
          </w:p>
          <w:p>
            <w:pPr>
              <w:pStyle w:val="null3"/>
              <w:jc w:val="both"/>
            </w:pPr>
            <w:r>
              <w:rPr>
                <w:rFonts w:ascii="仿宋_GB2312" w:hAnsi="仿宋_GB2312" w:cs="仿宋_GB2312" w:eastAsia="仿宋_GB2312"/>
                <w:sz w:val="18"/>
              </w:rPr>
              <w:t>2.水电及基础设施类</w:t>
            </w:r>
          </w:p>
          <w:p>
            <w:pPr>
              <w:pStyle w:val="null3"/>
              <w:jc w:val="both"/>
            </w:pPr>
            <w:r>
              <w:rPr>
                <w:rFonts w:ascii="仿宋_GB2312" w:hAnsi="仿宋_GB2312" w:cs="仿宋_GB2312" w:eastAsia="仿宋_GB2312"/>
                <w:sz w:val="18"/>
              </w:rPr>
              <w:t>1.水电管网：建立设施台账，每月提交维护报告，突发停水停电 30 分钟内到场；下水管道每季度清掏 1 次，化粪池每年清理≥2 次，雨季前排查防汛设备。</w:t>
            </w:r>
          </w:p>
          <w:p>
            <w:pPr>
              <w:pStyle w:val="null3"/>
              <w:jc w:val="both"/>
            </w:pPr>
            <w:r>
              <w:rPr>
                <w:rFonts w:ascii="仿宋_GB2312" w:hAnsi="仿宋_GB2312" w:cs="仿宋_GB2312" w:eastAsia="仿宋_GB2312"/>
                <w:sz w:val="18"/>
              </w:rPr>
              <w:t>2.建筑维修：覆盖办公楼、车间等区域，包含墙面修补、地面硬化、门窗维修等，每年全面检查标识系统，即时更换破损标识。</w:t>
            </w:r>
          </w:p>
          <w:p>
            <w:pPr>
              <w:pStyle w:val="null3"/>
              <w:jc w:val="both"/>
            </w:pPr>
            <w:r>
              <w:rPr>
                <w:rFonts w:ascii="仿宋_GB2312" w:hAnsi="仿宋_GB2312" w:cs="仿宋_GB2312" w:eastAsia="仿宋_GB2312"/>
                <w:sz w:val="18"/>
              </w:rPr>
              <w:t>3.设备系统类（LED、办公设备、净水器、空调、配电箱、照明、消防系统等）</w:t>
            </w:r>
          </w:p>
          <w:p>
            <w:pPr>
              <w:pStyle w:val="null3"/>
              <w:jc w:val="both"/>
            </w:pPr>
            <w:r>
              <w:rPr>
                <w:rFonts w:ascii="仿宋_GB2312" w:hAnsi="仿宋_GB2312" w:cs="仿宋_GB2312" w:eastAsia="仿宋_GB2312"/>
                <w:sz w:val="18"/>
              </w:rPr>
              <w:t>统一执行</w:t>
            </w:r>
            <w:r>
              <w:rPr>
                <w:rFonts w:ascii="仿宋_GB2312" w:hAnsi="仿宋_GB2312" w:cs="仿宋_GB2312" w:eastAsia="仿宋_GB2312"/>
                <w:sz w:val="18"/>
              </w:rPr>
              <w:t>“日常巡检 + 年度检修 + 应急处理 + 记录管理” 模式，净水器需确保水质达标，消防系统符合安全规范。</w:t>
            </w:r>
          </w:p>
          <w:p>
            <w:pPr>
              <w:pStyle w:val="null3"/>
              <w:jc w:val="both"/>
            </w:pPr>
            <w:r>
              <w:rPr>
                <w:rFonts w:ascii="仿宋_GB2312" w:hAnsi="仿宋_GB2312" w:cs="仿宋_GB2312" w:eastAsia="仿宋_GB2312"/>
                <w:sz w:val="18"/>
              </w:rPr>
              <w:t>（二）保洁服务</w:t>
            </w:r>
          </w:p>
          <w:p>
            <w:pPr>
              <w:pStyle w:val="null3"/>
              <w:jc w:val="both"/>
            </w:pPr>
            <w:r>
              <w:rPr>
                <w:rFonts w:ascii="仿宋_GB2312" w:hAnsi="仿宋_GB2312" w:cs="仿宋_GB2312" w:eastAsia="仿宋_GB2312"/>
                <w:sz w:val="18"/>
              </w:rPr>
              <w:t>1. 服务内容</w:t>
            </w:r>
          </w:p>
          <w:p>
            <w:pPr>
              <w:pStyle w:val="null3"/>
              <w:jc w:val="both"/>
            </w:pPr>
            <w:r>
              <w:rPr>
                <w:rFonts w:ascii="仿宋_GB2312" w:hAnsi="仿宋_GB2312" w:cs="仿宋_GB2312" w:eastAsia="仿宋_GB2312"/>
                <w:sz w:val="18"/>
              </w:rPr>
              <w:t>·公共区域：大厅、楼梯、卫生间每日清洁消毒，配备洗地机、吸尘器等设备，使用中性环保清洁剂。</w:t>
            </w:r>
          </w:p>
          <w:p>
            <w:pPr>
              <w:pStyle w:val="null3"/>
              <w:jc w:val="both"/>
            </w:pPr>
            <w:r>
              <w:rPr>
                <w:rFonts w:ascii="仿宋_GB2312" w:hAnsi="仿宋_GB2312" w:cs="仿宋_GB2312" w:eastAsia="仿宋_GB2312"/>
                <w:sz w:val="18"/>
              </w:rPr>
              <w:t>·室外区域：道路每日机械清扫 + 人工补扫，标识牌每周擦拭 2 次，雨后 2 小时内清理积水。</w:t>
            </w:r>
          </w:p>
          <w:p>
            <w:pPr>
              <w:pStyle w:val="null3"/>
              <w:jc w:val="both"/>
            </w:pPr>
            <w:r>
              <w:rPr>
                <w:rFonts w:ascii="仿宋_GB2312" w:hAnsi="仿宋_GB2312" w:cs="仿宋_GB2312" w:eastAsia="仿宋_GB2312"/>
                <w:sz w:val="18"/>
              </w:rPr>
              <w:t>·垃圾管理：垃圾桶每日保洁消毒，分类清运每日 2 次（9:00/17:00），突发污染 30 分钟响应。</w:t>
            </w:r>
          </w:p>
          <w:p>
            <w:pPr>
              <w:pStyle w:val="null3"/>
              <w:jc w:val="both"/>
            </w:pPr>
            <w:r>
              <w:rPr>
                <w:rFonts w:ascii="仿宋_GB2312" w:hAnsi="仿宋_GB2312" w:cs="仿宋_GB2312" w:eastAsia="仿宋_GB2312"/>
                <w:sz w:val="18"/>
              </w:rPr>
              <w:t>2. 服务标准</w:t>
            </w:r>
          </w:p>
          <w:p>
            <w:pPr>
              <w:pStyle w:val="null3"/>
              <w:jc w:val="both"/>
            </w:pPr>
            <w:r>
              <w:rPr>
                <w:rFonts w:ascii="仿宋_GB2312" w:hAnsi="仿宋_GB2312" w:cs="仿宋_GB2312" w:eastAsia="仿宋_GB2312"/>
                <w:sz w:val="18"/>
              </w:rPr>
              <w:t>·人员要求：高空作业需持特种作业证。</w:t>
            </w:r>
          </w:p>
          <w:p>
            <w:pPr>
              <w:pStyle w:val="null3"/>
              <w:jc w:val="both"/>
            </w:pPr>
            <w:r>
              <w:rPr>
                <w:rFonts w:ascii="仿宋_GB2312" w:hAnsi="仿宋_GB2312" w:cs="仿宋_GB2312" w:eastAsia="仿宋_GB2312"/>
                <w:sz w:val="18"/>
              </w:rPr>
              <w:t>·记录要求：每日填写《保洁服务记录表》，记录清洁区域、频次及问题。</w:t>
            </w:r>
          </w:p>
          <w:p>
            <w:pPr>
              <w:pStyle w:val="null3"/>
              <w:jc w:val="both"/>
            </w:pPr>
            <w:r>
              <w:rPr>
                <w:rFonts w:ascii="仿宋_GB2312" w:hAnsi="仿宋_GB2312" w:cs="仿宋_GB2312" w:eastAsia="仿宋_GB2312"/>
                <w:sz w:val="18"/>
              </w:rPr>
              <w:t>（三）食堂服务（整合重复内容，明确操作规范）</w:t>
            </w:r>
          </w:p>
          <w:p>
            <w:pPr>
              <w:pStyle w:val="null3"/>
              <w:jc w:val="both"/>
            </w:pPr>
            <w:r>
              <w:rPr>
                <w:rFonts w:ascii="仿宋_GB2312" w:hAnsi="仿宋_GB2312" w:cs="仿宋_GB2312" w:eastAsia="仿宋_GB2312"/>
                <w:sz w:val="18"/>
              </w:rPr>
              <w:t>1. 服务内容与标准</w:t>
            </w:r>
          </w:p>
          <w:p>
            <w:pPr>
              <w:pStyle w:val="null3"/>
              <w:jc w:val="both"/>
            </w:pPr>
            <w:r>
              <w:rPr>
                <w:rFonts w:ascii="仿宋_GB2312" w:hAnsi="仿宋_GB2312" w:cs="仿宋_GB2312" w:eastAsia="仿宋_GB2312"/>
                <w:sz w:val="18"/>
              </w:rPr>
              <w:t>·供餐规模：每日 70-80 人，提供早、午餐及加班餐，夏季增配消暑饮品。</w:t>
            </w:r>
          </w:p>
          <w:p>
            <w:pPr>
              <w:pStyle w:val="null3"/>
              <w:jc w:val="both"/>
            </w:pPr>
            <w:r>
              <w:rPr>
                <w:rFonts w:ascii="仿宋_GB2312" w:hAnsi="仿宋_GB2312" w:cs="仿宋_GB2312" w:eastAsia="仿宋_GB2312"/>
                <w:sz w:val="18"/>
              </w:rPr>
              <w:t>·卫生要求：生熟分区存放，食材离地 10cm，48 小时餐品留样；操作台 / 厨具每餐后消毒（高温蒸汽≥30 分钟），排水沟每日清掏、每周疏通。</w:t>
            </w:r>
          </w:p>
          <w:p>
            <w:pPr>
              <w:pStyle w:val="null3"/>
              <w:jc w:val="both"/>
            </w:pPr>
            <w:r>
              <w:rPr>
                <w:rFonts w:ascii="仿宋_GB2312" w:hAnsi="仿宋_GB2312" w:cs="仿宋_GB2312" w:eastAsia="仿宋_GB2312"/>
                <w:sz w:val="18"/>
              </w:rPr>
              <w:t>·设备管理：配备燃气灶、蒸箱、冰柜、消毒柜、洗碗机等，每日记录消毒台账。</w:t>
            </w:r>
          </w:p>
          <w:p>
            <w:pPr>
              <w:pStyle w:val="null3"/>
              <w:jc w:val="both"/>
            </w:pPr>
            <w:r>
              <w:rPr>
                <w:rFonts w:ascii="仿宋_GB2312" w:hAnsi="仿宋_GB2312" w:cs="仿宋_GB2312" w:eastAsia="仿宋_GB2312"/>
                <w:sz w:val="18"/>
              </w:rPr>
              <w:t>2. 应急保障</w:t>
            </w:r>
          </w:p>
          <w:p>
            <w:pPr>
              <w:pStyle w:val="null3"/>
              <w:jc w:val="both"/>
            </w:pPr>
            <w:r>
              <w:rPr>
                <w:rFonts w:ascii="仿宋_GB2312" w:hAnsi="仿宋_GB2312" w:cs="仿宋_GB2312" w:eastAsia="仿宋_GB2312"/>
                <w:sz w:val="18"/>
              </w:rPr>
              <w:t>·设备故障或极端天气时，通过外购盒饭等方式保障供餐。</w:t>
            </w:r>
          </w:p>
          <w:p>
            <w:pPr>
              <w:pStyle w:val="null3"/>
              <w:spacing w:after="120"/>
              <w:jc w:val="both"/>
            </w:pPr>
            <w:r>
              <w:rPr>
                <w:rFonts w:ascii="仿宋_GB2312" w:hAnsi="仿宋_GB2312" w:cs="仿宋_GB2312" w:eastAsia="仿宋_GB2312"/>
                <w:sz w:val="18"/>
                <w:b/>
              </w:rPr>
              <w:t>二、人员要求</w:t>
            </w:r>
          </w:p>
          <w:tbl>
            <w:tblPr>
              <w:tblInd w:type="dxa" w:w="240"/>
              <w:tblBorders>
                <w:top w:val="none" w:color="000000" w:sz="4"/>
                <w:left w:val="none" w:color="000000" w:sz="4"/>
                <w:bottom w:val="none" w:color="000000" w:sz="4"/>
                <w:right w:val="none" w:color="000000" w:sz="4"/>
                <w:insideH w:val="none"/>
                <w:insideV w:val="none"/>
              </w:tblBorders>
            </w:tblPr>
            <w:tblGrid>
              <w:gridCol w:w="608"/>
              <w:gridCol w:w="426"/>
              <w:gridCol w:w="517"/>
              <w:gridCol w:w="1003"/>
            </w:tblGrid>
            <w:tr>
              <w:tc>
                <w:tcPr>
                  <w:tcW w:type="dxa" w:w="608"/>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jc w:val="center"/>
                  </w:pPr>
                  <w:r>
                    <w:rPr>
                      <w:rFonts w:ascii="仿宋_GB2312" w:hAnsi="仿宋_GB2312" w:cs="仿宋_GB2312" w:eastAsia="仿宋_GB2312"/>
                      <w:sz w:val="18"/>
                    </w:rPr>
                    <w:t>岗位</w:t>
                  </w:r>
                  <w:r>
                    <w:rPr>
                      <w:rFonts w:ascii="仿宋_GB2312" w:hAnsi="仿宋_GB2312" w:cs="仿宋_GB2312" w:eastAsia="仿宋_GB2312"/>
                      <w:sz w:val="18"/>
                    </w:rPr>
                    <w:t>/职务</w:t>
                  </w:r>
                </w:p>
              </w:tc>
              <w:tc>
                <w:tcPr>
                  <w:tcW w:type="dxa" w:w="426"/>
                  <w:tcBorders>
                    <w:top w:val="single" w:color="000000" w:sz="4"/>
                    <w:left w:val="none" w:color="000000" w:sz="4"/>
                    <w:bottom w:val="single" w:color="000000" w:sz="4"/>
                    <w:right w:val="single" w:color="000000" w:sz="4"/>
                  </w:tcBorders>
                  <w:shd w:fill="BEBEBE"/>
                  <w:tcMar>
                    <w:top w:type="dxa" w:w="0"/>
                    <w:left w:type="dxa" w:w="0"/>
                    <w:bottom w:type="dxa" w:w="0"/>
                    <w:right w:type="dxa" w:w="0"/>
                  </w:tcMar>
                  <w:vAlign w:val="top"/>
                </w:tcPr>
                <w:p>
                  <w:pPr>
                    <w:pStyle w:val="null3"/>
                    <w:jc w:val="center"/>
                  </w:pPr>
                  <w:r>
                    <w:rPr>
                      <w:rFonts w:ascii="仿宋_GB2312" w:hAnsi="仿宋_GB2312" w:cs="仿宋_GB2312" w:eastAsia="仿宋_GB2312"/>
                      <w:sz w:val="18"/>
                    </w:rPr>
                    <w:t>人员类别</w:t>
                  </w:r>
                </w:p>
              </w:tc>
              <w:tc>
                <w:tcPr>
                  <w:tcW w:type="dxa" w:w="517"/>
                  <w:tcBorders>
                    <w:top w:val="single" w:color="000000" w:sz="4"/>
                    <w:left w:val="none" w:color="000000" w:sz="4"/>
                    <w:bottom w:val="single" w:color="000000" w:sz="4"/>
                    <w:right w:val="single" w:color="000000" w:sz="4"/>
                  </w:tcBorders>
                  <w:shd w:fill="BEBEBE"/>
                  <w:tcMar>
                    <w:top w:type="dxa" w:w="0"/>
                    <w:left w:type="dxa" w:w="0"/>
                    <w:bottom w:type="dxa" w:w="0"/>
                    <w:right w:type="dxa" w:w="0"/>
                  </w:tcMar>
                  <w:vAlign w:val="top"/>
                </w:tcPr>
                <w:p>
                  <w:pPr>
                    <w:pStyle w:val="null3"/>
                    <w:jc w:val="center"/>
                  </w:pPr>
                  <w:r>
                    <w:rPr>
                      <w:rFonts w:ascii="仿宋_GB2312" w:hAnsi="仿宋_GB2312" w:cs="仿宋_GB2312" w:eastAsia="仿宋_GB2312"/>
                      <w:sz w:val="18"/>
                    </w:rPr>
                    <w:t>数量</w:t>
                  </w:r>
                  <w:r>
                    <w:rPr>
                      <w:rFonts w:ascii="仿宋_GB2312" w:hAnsi="仿宋_GB2312" w:cs="仿宋_GB2312" w:eastAsia="仿宋_GB2312"/>
                      <w:sz w:val="18"/>
                    </w:rPr>
                    <w:t>(人)</w:t>
                  </w:r>
                </w:p>
              </w:tc>
              <w:tc>
                <w:tcPr>
                  <w:tcW w:type="dxa" w:w="1003"/>
                  <w:tcBorders>
                    <w:top w:val="single" w:color="000000" w:sz="4"/>
                    <w:left w:val="none" w:color="000000" w:sz="4"/>
                    <w:bottom w:val="single" w:color="000000" w:sz="4"/>
                    <w:right w:val="single" w:color="000000" w:sz="4"/>
                  </w:tcBorders>
                  <w:shd w:fill="BEBEBE"/>
                  <w:tcMar>
                    <w:top w:type="dxa" w:w="0"/>
                    <w:left w:type="dxa" w:w="0"/>
                    <w:bottom w:type="dxa" w:w="0"/>
                    <w:right w:type="dxa" w:w="0"/>
                  </w:tcMar>
                  <w:vAlign w:val="top"/>
                </w:tcPr>
                <w:p>
                  <w:pPr>
                    <w:pStyle w:val="null3"/>
                    <w:jc w:val="center"/>
                  </w:pPr>
                  <w:r>
                    <w:rPr>
                      <w:rFonts w:ascii="仿宋_GB2312" w:hAnsi="仿宋_GB2312" w:cs="仿宋_GB2312" w:eastAsia="仿宋_GB2312"/>
                      <w:sz w:val="18"/>
                    </w:rPr>
                    <w:t>备注</w:t>
                  </w:r>
                </w:p>
              </w:tc>
            </w:tr>
            <w:tr>
              <w:tc>
                <w:tcPr>
                  <w:tcW w:type="dxa" w:w="6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项目经理</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管理人员</w:t>
                  </w:r>
                </w:p>
              </w:tc>
              <w:tc>
                <w:tcPr>
                  <w:tcW w:type="dxa" w:w="5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0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综合电工</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作业人员</w:t>
                  </w:r>
                </w:p>
              </w:tc>
              <w:tc>
                <w:tcPr>
                  <w:tcW w:type="dxa" w:w="5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0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12"/>
                    <w:jc w:val="both"/>
                  </w:pPr>
                  <w:r>
                    <w:rPr>
                      <w:rFonts w:ascii="仿宋_GB2312" w:hAnsi="仿宋_GB2312" w:cs="仿宋_GB2312" w:eastAsia="仿宋_GB2312"/>
                      <w:sz w:val="18"/>
                    </w:rPr>
                    <w:t>电工应具备有相应的职业资格证书</w:t>
                  </w:r>
                </w:p>
              </w:tc>
            </w:tr>
            <w:tr>
              <w:tc>
                <w:tcPr>
                  <w:tcW w:type="dxa" w:w="6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锅炉工</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作业人员</w:t>
                  </w:r>
                </w:p>
              </w:tc>
              <w:tc>
                <w:tcPr>
                  <w:tcW w:type="dxa" w:w="5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10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锅炉工应具备相应的职业资格证书</w:t>
                  </w:r>
                </w:p>
              </w:tc>
            </w:tr>
            <w:tr>
              <w:tc>
                <w:tcPr>
                  <w:tcW w:type="dxa" w:w="6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保洁</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作业人员</w:t>
                  </w:r>
                </w:p>
              </w:tc>
              <w:tc>
                <w:tcPr>
                  <w:tcW w:type="dxa" w:w="5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10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6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食堂</w:t>
                  </w:r>
                </w:p>
              </w:tc>
              <w:tc>
                <w:tcPr>
                  <w:tcW w:type="dxa" w:w="4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作业人员</w:t>
                  </w:r>
                </w:p>
              </w:tc>
              <w:tc>
                <w:tcPr>
                  <w:tcW w:type="dxa" w:w="5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10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应具备有健康证</w:t>
                  </w:r>
                </w:p>
              </w:tc>
            </w:tr>
            <w:tr>
              <w:tc>
                <w:tcPr>
                  <w:tcW w:type="dxa" w:w="2554"/>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合计：</w:t>
                  </w:r>
                  <w:r>
                    <w:rPr>
                      <w:rFonts w:ascii="仿宋_GB2312" w:hAnsi="仿宋_GB2312" w:cs="仿宋_GB2312" w:eastAsia="仿宋_GB2312"/>
                      <w:sz w:val="18"/>
                    </w:rPr>
                    <w:t>10人</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2025年第三季度结束，经验收合格，甲方收到增值税普通发票后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2025年第四季度，于12月初进行验收，经验收合格，甲方收到增值税普通发票后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其他证明材料.docx 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供应商针对本项目编制完善的服务方案，内容包含:①计划安排；②配件保障；③工作流程；④实施步骤；⑤工作制度。 二、评审标准 1、完整性:方案必须全面，对评审内容中的各项要求有详细描述: 2、可实施性:切合本项目实际情况，提出步骤清晰、合理的方案; 3、针对性:方案能够紧扣项目实际情况，内容科学合理。 三、赋分标准(满分30分) ①计划安排:每完全满足一个评审标准得2分，满分6分; ②配件保障:每完全满足一个评审标准得2分，满分6分; ③工作流程:每完全满足一个评审标准得2分，满分6分。 ④实施步骤:每完全满足一个评审标准得2分，满分6分。 ⑤工作制度:每完全满足一个评审标准得2分，满分6分。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供应商针对本项目编制完善的服务质量保障措施，内容包含:①质量控制措施；②服务进度保证措施；③确保质量的技术组织措施。 二、评审标准 1、完整性:方案必须全面，对评审内容中的各项要求有详细描述: 2、可实施性:切合本项目实际情况，提出步骤清晰、合理的方案; 3、针对性:方案能够紧扣项目实际情况，内容科学合理。 三、赋分标准(满分18分) ①质量控制措施:每完全满足一个评审标准得2分，满分6分; ②服务进度保证措施:每完全满足一个评审标准得2分，满分6分; ③确保质量的技术组织措施：:每完全满足一个评审标准得2分，满分6分。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供应商针对本项目编制完善的突发事件处理方案 ，内容包含:①应急预案；②应急保证措施； 二、评审标准 1、完整性:方案必须全面，对评审内容中的各项要求有详细描述: 2、可实施性:切合本项目实际情况，提出步骤清晰、合理的方案; 3、针对性:方案能够紧扣项目实际情况，内容科学合理。 三、赋分标准(满分12分) ①应急预案:每完全满足一个评审标准得2分，满分6分; ②应急保证措施:每完全满足一个评审标准得2分，满分6分。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供应商针对本项目编制完善的服务承诺，内容包含:①承诺完全配合采购人的工作，确保人员的社保及相关费用准时准确按期缴纳；②保证所用配件是符合国家质量标准； 二、评审标准 1、完整性:方案必须全面，对评审内容中的各项要求有详细描述: 2、可实施性:切合本项目实际情况，提出步骤清晰、合理的方案; 3、针对性:方案能够紧扣项目实际情况，内容科学合理。 三、赋分标准(满分6分) ①承诺完全配合采购人的工作，确保人员的社保及相关费用准时准确按期缴纳:每完全满足一个评审标准得1分，满分3分; ②保证所用配件是符合国家质量标准:每完全满足一个评审标准得1分，满分3分。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 号）的有关规定：价格分采用低价优先法计算，即满足磋商文件要求且磋商报价最低的磋商报价为评审基准价，其价格分为满分。其他供应商的价格分统一按照下列公式计算： 磋商报价得分=（评审基准价/磋商报价）×价格权值×100 注：评标委员会二分之一以上专家认为某磋商报价有低于成本价嫌疑的，且供应商无法证明其价格合理性的，为无效报价。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