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版本号：SXZY202504（ZB）-00420250523002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2025年西安市三河一山绿道无人机巡查项目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SXZY202504（ZB）-004</w:t>
      </w:r>
      <w:r>
        <w:br/>
      </w:r>
      <w:r>
        <w:br/>
      </w:r>
      <w:r>
        <w:br/>
      </w:r>
    </w:p>
    <w:p>
      <w:pPr>
        <w:pStyle w:val="null3"/>
        <w:jc w:val="center"/>
        <w:outlineLvl w:val="2"/>
      </w:pPr>
      <w:r>
        <w:rPr>
          <w:rFonts w:ascii="仿宋_GB2312" w:hAnsi="仿宋_GB2312" w:cs="仿宋_GB2312" w:eastAsia="仿宋_GB2312"/>
          <w:sz w:val="28"/>
          <w:b/>
        </w:rPr>
        <w:t>西安市三河一山生态管护中心</w:t>
      </w:r>
    </w:p>
    <w:p>
      <w:pPr>
        <w:pStyle w:val="null3"/>
        <w:jc w:val="center"/>
        <w:outlineLvl w:val="2"/>
      </w:pPr>
      <w:r>
        <w:rPr>
          <w:rFonts w:ascii="仿宋_GB2312" w:hAnsi="仿宋_GB2312" w:cs="仿宋_GB2312" w:eastAsia="仿宋_GB2312"/>
          <w:sz w:val="28"/>
          <w:b/>
        </w:rPr>
        <w:t>正耀项目管理有限公司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正耀项目管理有限公司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西安市三河一山生态管护中心</w:t>
      </w:r>
      <w:r>
        <w:rPr>
          <w:rFonts w:ascii="仿宋_GB2312" w:hAnsi="仿宋_GB2312" w:cs="仿宋_GB2312" w:eastAsia="仿宋_GB2312"/>
        </w:rPr>
        <w:t>委托，拟对</w:t>
      </w:r>
      <w:r>
        <w:rPr>
          <w:rFonts w:ascii="仿宋_GB2312" w:hAnsi="仿宋_GB2312" w:cs="仿宋_GB2312" w:eastAsia="仿宋_GB2312"/>
        </w:rPr>
        <w:t>2025年西安市三河一山绿道无人机巡查项目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SXZY202504（ZB）-004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2025年西安市三河一山绿道无人机巡查项目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西安市“三河一山”绿道是利用渭河、沣河、浐灞河、秦岭丰富的自然山水生态和历史人文资源，构建的一条展现西安山水资源的绿色生态廊道。 截止目前，已建成绿道主游径约320公里，驿站91座，桥涵及平交节点24处，慢行景观桥2座，绿化、标识牌、自行车架、照明灯具、停车等配套设施，涉及西安浐灞国际港、灞桥区、蓝田县、高陵区、西咸新区、高新区、长安区等区县、开发区以及渭河城市段。 三河一山绿道由渭河绿道、灞河绿道、浐河绿道、环山路绿道、沣河绿道五部分组成，其中渭河绿道主游径57.24公里，驿站20座，灞河绿道主游径77.07公里，驿站35座，浐河绿道主游径58.7公里，驿站13座，环山路绿道39.2公里，驿站3座，沣河绿道主游径88.34公里，驿站20座。 为加强绿道巡查工作，2025年市三河一山生态管护中心计划实施绿道无人机巡查项目，项目旨在通过全方位、高视野、无死角的无人机巡查和航测正射影像图采集绿道数字化底版弥补地面人工巡查绿道视觉局限的短板建立长期对比基础数据，构建“无人机空中看+人员地面查”立体巡查模式，实现人工巡与无机巡的有机结合，提高绿道巡查效率和发现问题的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采购包1（无人机巡查服务）：属于专门面向中小企业采购。</w:t>
      </w:r>
    </w:p>
    <w:p>
      <w:pPr>
        <w:pStyle w:val="null3"/>
      </w:pPr>
      <w:r>
        <w:rPr>
          <w:rFonts w:ascii="仿宋_GB2312" w:hAnsi="仿宋_GB2312" w:cs="仿宋_GB2312" w:eastAsia="仿宋_GB2312"/>
        </w:rPr>
        <w:t>采购包2（正射影像图拍摄服务）：属于专门面向中小企业采购。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要求：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pPr>
        <w:pStyle w:val="null3"/>
      </w:pPr>
      <w:r>
        <w:rPr>
          <w:rFonts w:ascii="仿宋_GB2312" w:hAnsi="仿宋_GB2312" w:cs="仿宋_GB2312" w:eastAsia="仿宋_GB2312"/>
        </w:rPr>
        <w:t>2、供应商授权代表要求：法定代表人直接参加磋商的，须提交《法定代表人身份证明》和身份证电子版。法定代表人授权委托代理人参加磋商的，须提交《法定代表人授权委托书》；</w:t>
      </w:r>
    </w:p>
    <w:p>
      <w:pPr>
        <w:pStyle w:val="null3"/>
      </w:pPr>
      <w:r>
        <w:rPr>
          <w:rFonts w:ascii="仿宋_GB2312" w:hAnsi="仿宋_GB2312" w:cs="仿宋_GB2312" w:eastAsia="仿宋_GB2312"/>
        </w:rPr>
        <w:t>3、社会保障资金缴纳证明：提供（2024年1月1日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4、税收缴纳证明：提供（2024年1月1日至今）任意一个月的纳税证明或完税证明（纳税证明或完税证明上应有代收机构或税务机关的公章或业务专用章）；依法免税的供应商应提供相关证明文件；</w:t>
      </w:r>
    </w:p>
    <w:p>
      <w:pPr>
        <w:pStyle w:val="null3"/>
      </w:pPr>
      <w:r>
        <w:rPr>
          <w:rFonts w:ascii="仿宋_GB2312" w:hAnsi="仿宋_GB2312" w:cs="仿宋_GB2312" w:eastAsia="仿宋_GB2312"/>
        </w:rPr>
        <w:t>5、供应商信用情况：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p>
      <w:pPr>
        <w:pStyle w:val="null3"/>
      </w:pPr>
      <w:r>
        <w:rPr>
          <w:rFonts w:ascii="仿宋_GB2312" w:hAnsi="仿宋_GB2312" w:cs="仿宋_GB2312" w:eastAsia="仿宋_GB2312"/>
        </w:rPr>
        <w:t>6、供应商重大违法记录情况：供应商应具备良好的商业信誉，在参加政府采购活动前三年内在经营活动中没有重大违法记录；</w:t>
      </w:r>
    </w:p>
    <w:p>
      <w:pPr>
        <w:pStyle w:val="null3"/>
      </w:pPr>
      <w:r>
        <w:rPr>
          <w:rFonts w:ascii="仿宋_GB2312" w:hAnsi="仿宋_GB2312" w:cs="仿宋_GB2312" w:eastAsia="仿宋_GB2312"/>
        </w:rPr>
        <w:t>7、供应商技术能力要求：供应商应具有履行合同所必需的设备和专业技术能力；</w:t>
      </w:r>
    </w:p>
    <w:p>
      <w:pPr>
        <w:pStyle w:val="null3"/>
      </w:pPr>
      <w:r>
        <w:rPr>
          <w:rFonts w:ascii="仿宋_GB2312" w:hAnsi="仿宋_GB2312" w:cs="仿宋_GB2312" w:eastAsia="仿宋_GB2312"/>
        </w:rPr>
        <w:t>8、资质证书：使用除微型以外的民用无人驾驶航空器从事飞行活动的供应商应提供有效的《民用无人驾驶航空器运营合格证》；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主体要求：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pPr>
        <w:pStyle w:val="null3"/>
      </w:pPr>
      <w:r>
        <w:rPr>
          <w:rFonts w:ascii="仿宋_GB2312" w:hAnsi="仿宋_GB2312" w:cs="仿宋_GB2312" w:eastAsia="仿宋_GB2312"/>
        </w:rPr>
        <w:t>2、供应商授权代表要求：法定代表人直接参加磋商的，须提交《法定代表人身份证明》和身份证电子版。法定代表人授权委托代理人参加磋商的，须提交《法定代表人授权委托书》；</w:t>
      </w:r>
    </w:p>
    <w:p>
      <w:pPr>
        <w:pStyle w:val="null3"/>
      </w:pPr>
      <w:r>
        <w:rPr>
          <w:rFonts w:ascii="仿宋_GB2312" w:hAnsi="仿宋_GB2312" w:cs="仿宋_GB2312" w:eastAsia="仿宋_GB2312"/>
        </w:rPr>
        <w:t>3、社会保障资金缴纳证明：提供（2024年1月1日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4、税收缴纳证明：提供（2024年1月1日至今）任意一个月的纳税证明或完税证明（纳税证明或完税证明上应有代收机构或税务机关的公章或业务专用章）；依法免税的供应商应提供相关证明文件；</w:t>
      </w:r>
    </w:p>
    <w:p>
      <w:pPr>
        <w:pStyle w:val="null3"/>
      </w:pPr>
      <w:r>
        <w:rPr>
          <w:rFonts w:ascii="仿宋_GB2312" w:hAnsi="仿宋_GB2312" w:cs="仿宋_GB2312" w:eastAsia="仿宋_GB2312"/>
        </w:rPr>
        <w:t>5、供应商信用情况：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p>
      <w:pPr>
        <w:pStyle w:val="null3"/>
      </w:pPr>
      <w:r>
        <w:rPr>
          <w:rFonts w:ascii="仿宋_GB2312" w:hAnsi="仿宋_GB2312" w:cs="仿宋_GB2312" w:eastAsia="仿宋_GB2312"/>
        </w:rPr>
        <w:t>6、供应商重大违法记录情况：供应商应具备良好的商业信誉，在参加政府采购活动前三年内在经营活动中没有重大违法记录；</w:t>
      </w:r>
    </w:p>
    <w:p>
      <w:pPr>
        <w:pStyle w:val="null3"/>
      </w:pPr>
      <w:r>
        <w:rPr>
          <w:rFonts w:ascii="仿宋_GB2312" w:hAnsi="仿宋_GB2312" w:cs="仿宋_GB2312" w:eastAsia="仿宋_GB2312"/>
        </w:rPr>
        <w:t>7、供应商技术能力要求：供应商应具有履行合同所必需的设备和专业技术能力；</w:t>
      </w:r>
    </w:p>
    <w:p>
      <w:pPr>
        <w:pStyle w:val="null3"/>
      </w:pPr>
      <w:r>
        <w:rPr>
          <w:rFonts w:ascii="仿宋_GB2312" w:hAnsi="仿宋_GB2312" w:cs="仿宋_GB2312" w:eastAsia="仿宋_GB2312"/>
        </w:rPr>
        <w:t>8、资质证书：（1）使用除微型以外的民用无人驾驶航空器从事飞行活动的供应商应提供有效的《民用无人驾驶航空器运营合格证》； （2）供应商应具备测绘地理信息主管部门颁发的乙级及以上《测绘资质证书》，且在有效期内；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西安市三河一山生态管护中心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杨钧博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15389233216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陕西省西安市雁塔区锦业路绿地领海大厦A座2408室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18066763764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 代理服务费收费标准：成交单位领取成交通知书前，向采购代理机构一次性支付成交服务费，收费标准根据《招标代理服务收费管理暂行办法》计价格〔2002〕1980号及国家发展和改革委员会文件发改价格〔2011〕534号文件，本次代理服务费按标准取费下浮5%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西安市三河一山生态管护中心</w:t>
      </w:r>
      <w:r>
        <w:rPr>
          <w:rFonts w:ascii="仿宋_GB2312" w:hAnsi="仿宋_GB2312" w:cs="仿宋_GB2312" w:eastAsia="仿宋_GB2312"/>
        </w:rPr>
        <w:t>和</w:t>
      </w:r>
      <w:r>
        <w:rPr>
          <w:rFonts w:ascii="仿宋_GB2312" w:hAnsi="仿宋_GB2312" w:cs="仿宋_GB2312" w:eastAsia="仿宋_GB2312"/>
        </w:rPr>
        <w:t>正耀项目管理有限公司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西安市三河一山生态管护中心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西安市三河一山生态管护中心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无人机巡查服务按照合同约定在规定期限内完成并达到预期目标。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正射影像图拍摄服务按照合同约定在规定期限内完成并达到预期目标。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联系电话：18066763764</w:t>
      </w:r>
    </w:p>
    <w:p>
      <w:pPr>
        <w:pStyle w:val="null3"/>
      </w:pPr>
      <w:r>
        <w:rPr>
          <w:rFonts w:ascii="仿宋_GB2312" w:hAnsi="仿宋_GB2312" w:cs="仿宋_GB2312" w:eastAsia="仿宋_GB2312"/>
        </w:rPr>
        <w:t>地址：陕西省西安市雁塔区锦业路绿地领海大厦A座2408室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西安市“三河一山”绿道是利用渭河、沣河、浐灞河、秦岭丰富的自然山水生态和历史人文资源，构建的一条展现西安山水资源的绿色生态廊道。 截止目前，已建成绿道主游径约320公里，驿站91座，桥涵及平交节点24处，慢行景观桥2座，绿化、标识牌、自行车架、照明灯具、停车等配套设施，涉及西安浐灞国际港、灞桥区、蓝田县、高陵区、西咸新区、高新区、长安区等区县、开发区以及渭河城市段。 三河一山绿道由渭河绿道、灞河绿道、浐河绿道、环山路绿道、沣河绿道五部分组成，其中渭河绿道主游径57.24公里，驿站20座，灞河绿道主游径77.07公里，驿站35座，浐河绿道主游径58.7公里，驿站13座，环山路绿道39.2公里，驿站3座，沣河绿道主游径88.34公里，驿站20座。 为加强绿道巡查工作，2025年市三河一山生态管护中心计划实施绿道无人机巡查项目，项目旨在通过全方位、高视野、无死角的无人机巡查和航测正射影像图采集绿道数字化底版弥补地面人工巡查绿道视觉局限的短板建立长期对比基础数据，构建“无人机空中看+人员地面查”立体巡查模式，实现人工巡与无机巡的有机结合，提高绿道巡查效率和发现问题的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无人机巡检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绿道正射影像图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标的名称：无人机巡检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无人机设备及技术要求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）最长飞行时间≥</w:t>
            </w:r>
            <w:r>
              <w:rPr>
                <w:rFonts w:ascii="仿宋_GB2312" w:hAnsi="仿宋_GB2312" w:cs="仿宋_GB2312" w:eastAsia="仿宋_GB2312"/>
                <w:sz w:val="20"/>
              </w:rPr>
              <w:t>30</w:t>
            </w:r>
            <w:r>
              <w:rPr>
                <w:rFonts w:ascii="仿宋_GB2312" w:hAnsi="仿宋_GB2312" w:cs="仿宋_GB2312" w:eastAsia="仿宋_GB2312"/>
                <w:sz w:val="20"/>
              </w:rPr>
              <w:t>分钟，根据采购人巡检环境，对无人机进行合理配置；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）无人机搭载的摄像机，有效像≥</w:t>
            </w:r>
            <w:r>
              <w:rPr>
                <w:rFonts w:ascii="仿宋_GB2312" w:hAnsi="仿宋_GB2312" w:cs="仿宋_GB2312" w:eastAsia="仿宋_GB2312"/>
                <w:sz w:val="20"/>
              </w:rPr>
              <w:t>2000</w:t>
            </w:r>
            <w:r>
              <w:rPr>
                <w:rFonts w:ascii="仿宋_GB2312" w:hAnsi="仿宋_GB2312" w:cs="仿宋_GB2312" w:eastAsia="仿宋_GB2312"/>
                <w:sz w:val="20"/>
              </w:rPr>
              <w:t>万，图传清晰度≥</w:t>
            </w:r>
            <w:r>
              <w:rPr>
                <w:rFonts w:ascii="仿宋_GB2312" w:hAnsi="仿宋_GB2312" w:cs="仿宋_GB2312" w:eastAsia="仿宋_GB2312"/>
                <w:sz w:val="20"/>
              </w:rPr>
              <w:t>1080P</w:t>
            </w:r>
            <w:r>
              <w:rPr>
                <w:rFonts w:ascii="仿宋_GB2312" w:hAnsi="仿宋_GB2312" w:cs="仿宋_GB2312" w:eastAsia="仿宋_GB2312"/>
                <w:sz w:val="20"/>
              </w:rPr>
              <w:t>，拍摄性能≥</w:t>
            </w:r>
            <w:r>
              <w:rPr>
                <w:rFonts w:ascii="仿宋_GB2312" w:hAnsi="仿宋_GB2312" w:cs="仿宋_GB2312" w:eastAsia="仿宋_GB2312"/>
                <w:sz w:val="20"/>
              </w:rPr>
              <w:t>4K/60fps</w:t>
            </w:r>
            <w:r>
              <w:rPr>
                <w:rFonts w:ascii="仿宋_GB2312" w:hAnsi="仿宋_GB2312" w:cs="仿宋_GB2312" w:eastAsia="仿宋_GB2312"/>
                <w:sz w:val="20"/>
              </w:rPr>
              <w:t>。</w:t>
            </w:r>
          </w:p>
          <w:p>
            <w:pPr>
              <w:pStyle w:val="null3"/>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应根据上述要求，提供无人机及相关设备清单，并根据《无人驾驶航空器飞行管理暂行条例》中相关无人机等级划分标准，提供相关参数证明材料（证明材料不限于：出厂检测报告、产品彩页、产品说明书等），明确其无人及设备所属等级。未明确所属等级或未按所属等级提供相应资质证书的，其响应文件按无效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无人机巡查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）利用无人机开展绿道巡查，获得高清航拍影像；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）根据巡查内容，供应商选择适合的无人机巡查高度及地面影像分辨率，保证问题事项拍摄清晰可辨认；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）对沿河绿道，要按左右岸在航拍影像中标注各区县、开发区及渭河城市段管理分界点；</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）对巡查中发现的各类问题事项要在航拍影像中标注并说明，并提取相应的影像剪辑、照片等资料证据。</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人工现场复核</w:t>
            </w:r>
          </w:p>
          <w:p>
            <w:pPr>
              <w:pStyle w:val="null3"/>
            </w:pPr>
            <w:r>
              <w:rPr>
                <w:rFonts w:ascii="仿宋_GB2312" w:hAnsi="仿宋_GB2312" w:cs="仿宋_GB2312" w:eastAsia="仿宋_GB2312"/>
                <w:sz w:val="20"/>
              </w:rPr>
              <w:t>对无人机发现的问题事项要组织专业人员逐个实地复核，收集现场照片，对问题进行甄别。</w:t>
            </w:r>
            <w:r>
              <w:rPr>
                <w:rFonts w:ascii="仿宋_GB2312" w:hAnsi="仿宋_GB2312" w:cs="仿宋_GB2312" w:eastAsia="仿宋_GB2312"/>
                <w:sz w:val="20"/>
              </w:rPr>
              <w:t>现场对绿道管理养护人员进行反馈并确认。</w:t>
            </w:r>
            <w:r>
              <w:rPr>
                <w:rFonts w:ascii="仿宋_GB2312" w:hAnsi="仿宋_GB2312" w:cs="仿宋_GB2312" w:eastAsia="仿宋_GB2312"/>
                <w:sz w:val="20"/>
              </w:rPr>
              <w:t>道沿线河道</w:t>
            </w:r>
            <w:r>
              <w:rPr>
                <w:rFonts w:ascii="仿宋_GB2312" w:hAnsi="仿宋_GB2312" w:cs="仿宋_GB2312" w:eastAsia="仿宋_GB2312"/>
                <w:sz w:val="20"/>
              </w:rPr>
              <w:t>“</w:t>
            </w:r>
            <w:r>
              <w:rPr>
                <w:rFonts w:ascii="仿宋_GB2312" w:hAnsi="仿宋_GB2312" w:cs="仿宋_GB2312" w:eastAsia="仿宋_GB2312"/>
                <w:sz w:val="20"/>
              </w:rPr>
              <w:t>四乱</w:t>
            </w:r>
            <w:r>
              <w:rPr>
                <w:rFonts w:ascii="仿宋_GB2312" w:hAnsi="仿宋_GB2312" w:cs="仿宋_GB2312" w:eastAsia="仿宋_GB2312"/>
                <w:sz w:val="20"/>
              </w:rPr>
              <w:t>”</w:t>
            </w:r>
            <w:r>
              <w:rPr>
                <w:rFonts w:ascii="仿宋_GB2312" w:hAnsi="仿宋_GB2312" w:cs="仿宋_GB2312" w:eastAsia="仿宋_GB2312"/>
                <w:sz w:val="20"/>
              </w:rPr>
              <w:t>，周边河堤、拦水坝运行等问题，必要时邀请专家及河道管理单位共同研判确认。</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成果报告</w:t>
            </w:r>
          </w:p>
          <w:p>
            <w:pPr>
              <w:pStyle w:val="null3"/>
              <w:jc w:val="both"/>
            </w:pPr>
            <w:r>
              <w:rPr>
                <w:rFonts w:ascii="仿宋_GB2312" w:hAnsi="仿宋_GB2312" w:cs="仿宋_GB2312" w:eastAsia="仿宋_GB2312"/>
                <w:sz w:val="20"/>
              </w:rPr>
              <w:t>（1）巡查影像及飞行路径信息：每段绿道一年至少4份相关资料、加密巡查不少于8次。</w:t>
            </w:r>
          </w:p>
          <w:p>
            <w:pPr>
              <w:pStyle w:val="null3"/>
              <w:jc w:val="both"/>
            </w:pPr>
            <w:r>
              <w:rPr>
                <w:rFonts w:ascii="仿宋_GB2312" w:hAnsi="仿宋_GB2312" w:cs="仿宋_GB2312" w:eastAsia="仿宋_GB2312"/>
                <w:sz w:val="20"/>
              </w:rPr>
              <w:t>（2）巡查报告：每次全线巡查结束后第三个工作日提交本次巡查工作报告，报告中要有巡查安排、人员、设备配置情况，本次巡查新发现问题情况，以前问题整改情况，现场复核情况，巡查问题明细描述；</w:t>
            </w:r>
          </w:p>
          <w:p>
            <w:pPr>
              <w:pStyle w:val="null3"/>
            </w:pPr>
            <w:r>
              <w:rPr>
                <w:rFonts w:ascii="仿宋_GB2312" w:hAnsi="仿宋_GB2312" w:cs="仿宋_GB2312" w:eastAsia="仿宋_GB2312"/>
                <w:sz w:val="20"/>
              </w:rPr>
              <w:t>（3）按段、按管理单位建立绿道设施台账、问题台账，沿河绿道台账要区分左右岸。</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）无人机巡查相关空域审批手续由服务方自行办理。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）服务方在作业过程中的全部风险由服务方承担。</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）供应商接到临时性安排的重点区域、重要节点加密巡查指令时，</w:t>
            </w:r>
            <w:r>
              <w:rPr>
                <w:rFonts w:ascii="仿宋_GB2312" w:hAnsi="仿宋_GB2312" w:cs="仿宋_GB2312" w:eastAsia="仿宋_GB2312"/>
                <w:sz w:val="20"/>
              </w:rPr>
              <w:t>1</w:t>
            </w:r>
            <w:r>
              <w:rPr>
                <w:rFonts w:ascii="仿宋_GB2312" w:hAnsi="仿宋_GB2312" w:cs="仿宋_GB2312" w:eastAsia="仿宋_GB2312"/>
                <w:sz w:val="20"/>
              </w:rPr>
              <w:t>小时内到达现场并立即开展无人机巡查工作。</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）单次巡查周期不得超过</w:t>
            </w:r>
            <w:r>
              <w:rPr>
                <w:rFonts w:ascii="仿宋_GB2312" w:hAnsi="仿宋_GB2312" w:cs="仿宋_GB2312" w:eastAsia="仿宋_GB2312"/>
                <w:sz w:val="20"/>
              </w:rPr>
              <w:t>15</w:t>
            </w:r>
            <w:r>
              <w:rPr>
                <w:rFonts w:ascii="仿宋_GB2312" w:hAnsi="仿宋_GB2312" w:cs="仿宋_GB2312" w:eastAsia="仿宋_GB2312"/>
                <w:sz w:val="20"/>
              </w:rPr>
              <w:t>天，巡查周期包括完成无人机巡查服务全部内容所需时间。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标的名称：绿道正射影像图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正射影像图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）比例尺</w:t>
            </w:r>
            <w:r>
              <w:rPr>
                <w:rFonts w:ascii="仿宋_GB2312" w:hAnsi="仿宋_GB2312" w:cs="仿宋_GB2312" w:eastAsia="仿宋_GB2312"/>
                <w:sz w:val="20"/>
              </w:rPr>
              <w:t>1:1000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）航测宽度最小</w:t>
            </w:r>
            <w:r>
              <w:rPr>
                <w:rFonts w:ascii="仿宋_GB2312" w:hAnsi="仿宋_GB2312" w:cs="仿宋_GB2312" w:eastAsia="仿宋_GB2312"/>
                <w:sz w:val="20"/>
              </w:rPr>
              <w:t>200</w:t>
            </w:r>
            <w:r>
              <w:rPr>
                <w:rFonts w:ascii="仿宋_GB2312" w:hAnsi="仿宋_GB2312" w:cs="仿宋_GB2312" w:eastAsia="仿宋_GB2312"/>
                <w:sz w:val="20"/>
              </w:rPr>
              <w:t>米并覆盖绿道范围，最小绿道长度</w:t>
            </w:r>
            <w:r>
              <w:rPr>
                <w:rFonts w:ascii="仿宋_GB2312" w:hAnsi="仿宋_GB2312" w:cs="仿宋_GB2312" w:eastAsia="仿宋_GB2312"/>
                <w:sz w:val="20"/>
              </w:rPr>
              <w:t>320</w:t>
            </w:r>
            <w:r>
              <w:rPr>
                <w:rFonts w:ascii="仿宋_GB2312" w:hAnsi="仿宋_GB2312" w:cs="仿宋_GB2312" w:eastAsia="仿宋_GB2312"/>
                <w:sz w:val="20"/>
              </w:rPr>
              <w:t>公里并覆盖全部绿道；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）标注驿站、桥梁、道路、平交节点等文字；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1:1000</w:t>
            </w:r>
            <w:r>
              <w:rPr>
                <w:rFonts w:ascii="仿宋_GB2312" w:hAnsi="仿宋_GB2312" w:cs="仿宋_GB2312" w:eastAsia="仿宋_GB2312"/>
                <w:sz w:val="20"/>
              </w:rPr>
              <w:t>图册，分幅表；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）航测报告；对管制区域采取其他方法获取最新影像图。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）提供影像挂图。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）地面分辨率≥</w:t>
            </w:r>
            <w:r>
              <w:rPr>
                <w:rFonts w:ascii="仿宋_GB2312" w:hAnsi="仿宋_GB2312" w:cs="仿宋_GB2312" w:eastAsia="仿宋_GB2312"/>
                <w:sz w:val="20"/>
              </w:rPr>
              <w:t>10</w:t>
            </w:r>
            <w:r>
              <w:rPr>
                <w:rFonts w:ascii="仿宋_GB2312" w:hAnsi="仿宋_GB2312" w:cs="仿宋_GB2312" w:eastAsia="仿宋_GB2312"/>
                <w:sz w:val="20"/>
              </w:rPr>
              <w:t>厘米；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）航向重叠度≥</w:t>
            </w:r>
            <w:r>
              <w:rPr>
                <w:rFonts w:ascii="仿宋_GB2312" w:hAnsi="仿宋_GB2312" w:cs="仿宋_GB2312" w:eastAsia="仿宋_GB2312"/>
                <w:sz w:val="20"/>
              </w:rPr>
              <w:t>75%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）旁向重叠度≥</w:t>
            </w:r>
            <w:r>
              <w:rPr>
                <w:rFonts w:ascii="仿宋_GB2312" w:hAnsi="仿宋_GB2312" w:cs="仿宋_GB2312" w:eastAsia="仿宋_GB2312"/>
                <w:sz w:val="20"/>
              </w:rPr>
              <w:t>70%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）提供</w:t>
            </w:r>
            <w:r>
              <w:rPr>
                <w:rFonts w:ascii="仿宋_GB2312" w:hAnsi="仿宋_GB2312" w:cs="仿宋_GB2312" w:eastAsia="仿宋_GB2312"/>
                <w:sz w:val="20"/>
              </w:rPr>
              <w:t>2000</w:t>
            </w:r>
            <w:r>
              <w:rPr>
                <w:rFonts w:ascii="仿宋_GB2312" w:hAnsi="仿宋_GB2312" w:cs="仿宋_GB2312" w:eastAsia="仿宋_GB2312"/>
                <w:sz w:val="20"/>
              </w:rPr>
              <w:t>国家大地坐标系。</w:t>
            </w:r>
          </w:p>
          <w:p>
            <w:pPr>
              <w:pStyle w:val="null3"/>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供应商应根据上述要求，提供无人机及相关设备清单，并根据《无人驾驶航空器飞行管理暂行条例》中相关无人机等级划分标准，提供相关参数证明材料（证明材料不限于：出厂检测报告、产品彩页、产品说明书等），明确其无人及设备所属等级，未明确所属等级或未按所属等级提供相应资质证书的，其响应文件按无效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成果要求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）彩色数字正射影像图</w:t>
            </w:r>
            <w:r>
              <w:rPr>
                <w:rFonts w:ascii="仿宋_GB2312" w:hAnsi="仿宋_GB2312" w:cs="仿宋_GB2312" w:eastAsia="仿宋_GB2312"/>
                <w:sz w:val="20"/>
              </w:rPr>
              <w:t>DOM</w:t>
            </w:r>
            <w:r>
              <w:rPr>
                <w:rFonts w:ascii="仿宋_GB2312" w:hAnsi="仿宋_GB2312" w:cs="仿宋_GB2312" w:eastAsia="仿宋_GB2312"/>
                <w:sz w:val="20"/>
              </w:rPr>
              <w:t>影像</w:t>
            </w:r>
            <w:r>
              <w:rPr>
                <w:rFonts w:ascii="仿宋_GB2312" w:hAnsi="仿宋_GB2312" w:cs="仿宋_GB2312" w:eastAsia="仿宋_GB2312"/>
                <w:sz w:val="20"/>
              </w:rPr>
              <w:t>1</w:t>
            </w:r>
            <w:r>
              <w:rPr>
                <w:rFonts w:ascii="仿宋_GB2312" w:hAnsi="仿宋_GB2312" w:cs="仿宋_GB2312" w:eastAsia="仿宋_GB2312"/>
                <w:sz w:val="20"/>
              </w:rPr>
              <w:t>份（含影像数据文件“</w:t>
            </w:r>
            <w:r>
              <w:rPr>
                <w:rFonts w:ascii="仿宋_GB2312" w:hAnsi="仿宋_GB2312" w:cs="仿宋_GB2312" w:eastAsia="仿宋_GB2312"/>
                <w:sz w:val="20"/>
              </w:rPr>
              <w:t>*.tif</w:t>
            </w:r>
            <w:r>
              <w:rPr>
                <w:rFonts w:ascii="仿宋_GB2312" w:hAnsi="仿宋_GB2312" w:cs="仿宋_GB2312" w:eastAsia="仿宋_GB2312"/>
                <w:sz w:val="20"/>
              </w:rPr>
              <w:t>”、坐标信息文件“</w:t>
            </w:r>
            <w:r>
              <w:rPr>
                <w:rFonts w:ascii="仿宋_GB2312" w:hAnsi="仿宋_GB2312" w:cs="仿宋_GB2312" w:eastAsia="仿宋_GB2312"/>
                <w:sz w:val="20"/>
              </w:rPr>
              <w:t>*.tfw</w:t>
            </w:r>
            <w:r>
              <w:rPr>
                <w:rFonts w:ascii="仿宋_GB2312" w:hAnsi="仿宋_GB2312" w:cs="仿宋_GB2312" w:eastAsia="仿宋_GB2312"/>
                <w:sz w:val="20"/>
              </w:rPr>
              <w:t>”），影像应无空洞，错位等；并提供可以查看</w:t>
            </w:r>
            <w:r>
              <w:rPr>
                <w:rFonts w:ascii="仿宋_GB2312" w:hAnsi="仿宋_GB2312" w:cs="仿宋_GB2312" w:eastAsia="仿宋_GB2312"/>
                <w:sz w:val="20"/>
              </w:rPr>
              <w:t>DOM</w:t>
            </w:r>
            <w:r>
              <w:rPr>
                <w:rFonts w:ascii="仿宋_GB2312" w:hAnsi="仿宋_GB2312" w:cs="仿宋_GB2312" w:eastAsia="仿宋_GB2312"/>
                <w:sz w:val="20"/>
              </w:rPr>
              <w:t>影像图的相关设备及软件；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）图册及分幅表各</w:t>
            </w:r>
            <w:r>
              <w:rPr>
                <w:rFonts w:ascii="仿宋_GB2312" w:hAnsi="仿宋_GB2312" w:cs="仿宋_GB2312" w:eastAsia="仿宋_GB2312"/>
                <w:sz w:val="20"/>
              </w:rPr>
              <w:t>3</w:t>
            </w:r>
            <w:r>
              <w:rPr>
                <w:rFonts w:ascii="仿宋_GB2312" w:hAnsi="仿宋_GB2312" w:cs="仿宋_GB2312" w:eastAsia="仿宋_GB2312"/>
                <w:sz w:val="20"/>
              </w:rPr>
              <w:t>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）影像挂图（纸质版及电子版各</w:t>
            </w:r>
            <w:r>
              <w:rPr>
                <w:rFonts w:ascii="仿宋_GB2312" w:hAnsi="仿宋_GB2312" w:cs="仿宋_GB2312" w:eastAsia="仿宋_GB2312"/>
                <w:sz w:val="20"/>
              </w:rPr>
              <w:t>3</w:t>
            </w:r>
            <w:r>
              <w:rPr>
                <w:rFonts w:ascii="仿宋_GB2312" w:hAnsi="仿宋_GB2312" w:cs="仿宋_GB2312" w:eastAsia="仿宋_GB2312"/>
                <w:sz w:val="20"/>
              </w:rPr>
              <w:t>份）；</w:t>
            </w:r>
          </w:p>
          <w:p>
            <w:pPr>
              <w:pStyle w:val="null3"/>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）本项目纸质版技术工作文件</w:t>
            </w:r>
            <w:r>
              <w:rPr>
                <w:rFonts w:ascii="仿宋_GB2312" w:hAnsi="仿宋_GB2312" w:cs="仿宋_GB2312" w:eastAsia="仿宋_GB2312"/>
                <w:sz w:val="20"/>
              </w:rPr>
              <w:t>3</w:t>
            </w:r>
            <w:r>
              <w:rPr>
                <w:rFonts w:ascii="仿宋_GB2312" w:hAnsi="仿宋_GB2312" w:cs="仿宋_GB2312" w:eastAsia="仿宋_GB2312"/>
                <w:sz w:val="20"/>
              </w:rPr>
              <w:t>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）无人机航拍相关空域审批手续由服务费自行办理；</w:t>
            </w:r>
          </w:p>
          <w:p>
            <w:pPr>
              <w:pStyle w:val="null3"/>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）服务方在作业过程中的全部风险由服务方承担。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配备满足采购需求所必要的无人机操控人员及专业工程师。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配备满足采购需求所必要的无人机操控人员、测绘专业技术人员。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技术参数与要求“无人机设备及技术要求”。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配备满足正射影像图拍摄服务技术参数与要求的无人机设备。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供应商应按照采购人给定的《分项价格明细表》格式进行报价，否则其响应无效。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供应商应按照采购人给定的《分项价格明细表》格式进行报价，否则其响应无效。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自合同签订之日起至2025年9月25日前。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采购人指定地点三河一山约320公里绿道。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采购人指定地点三河一山约320公里绿道。</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由采购人按照响应文件及采购需求，对该项目进行一次验收。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由采购人按照响应文件及采购需求，对该项目进行一次验收。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按照项目实际进度支付第二笔服务费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经采购人验收合格一次性支付剩余服务费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项目实际完毕后，经采购人验收合格一次性支付剩余服务费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违约责任：供应商未能在约定时间内完成巡查任务或者出具的相关报告不符合合同要求，供应商应负责采取补救措施或者根据采购人的要求赔偿因此造成的损失。 解决争议的方法： 1、由于不可抗力因素致使本合同无法履行时，各方应及时协商解决； 2、本合同未尽事宜双方协商解决，协商不成依法向合同签订地人民法院起诉。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违约责任：供应商未能在约定时间内完成巡查任务或者出具的相关报告不符合合同要求，供应商应负责采取补救措施或者根据采购人的要求赔偿因此造成的损失。 解决争议的方法： 1、由于不可抗力因素致使本合同无法履行时，各方应及时协商解决； 2、本合同未尽事宜双方协商解决，协商不成依法向合同签订地人民法院起诉。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仅限采购包1： （1）巡查范围：约320公里绿道主游径、24处桥涵及平交节点，2座景观桥、91处驿站，驿站附近绿化带、标识、交通、停车位、机电设备等配套设施，沿线河道“四乱”问题（乱占、乱采、乱堆、乱建）巡查。 （2）巡查频次：全年不少于4次，时间间隔均匀；临时性安排的重点区域、重要节点加密巡查，每月不少于1次，全年不少于8次。 （3）巡查内容：对绿道及配套设施运行情况，绿道内机动车通行情况，绿道范围内施工情况，绿道范围内环境卫生保洁情况，沿线河道“四乱”（乱占、乱采、乱堆、乱建）情况，河堤、拦水坝运行情况，绿化带养护情况，沿线河面漂浮物情况，利用无人机巡查+人工复核，建立设施台账，提供问题清单。 仅限采购包2： 拍摄320公里绿道航测正射影像图1次。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证明文件如下：2024年度（如果没有可提供2023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证明文件如下：2024年度（如果没有可提供2023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供应商主体要求</w:t>
            </w:r>
          </w:p>
        </w:tc>
        <w:tc>
          <w:tcPr>
            <w:tcW w:type="dxa" w:w="3322"/>
          </w:tcPr>
          <w:p>
            <w:pPr>
              <w:pStyle w:val="null3"/>
            </w:pPr>
            <w:r>
              <w:rPr>
                <w:rFonts w:ascii="仿宋_GB2312" w:hAnsi="仿宋_GB2312" w:cs="仿宋_GB2312" w:eastAsia="仿宋_GB2312"/>
              </w:rPr>
              <w:t>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供应商授权代表要求</w:t>
            </w:r>
          </w:p>
        </w:tc>
        <w:tc>
          <w:tcPr>
            <w:tcW w:type="dxa" w:w="3322"/>
          </w:tcPr>
          <w:p>
            <w:pPr>
              <w:pStyle w:val="null3"/>
            </w:pPr>
            <w:r>
              <w:rPr>
                <w:rFonts w:ascii="仿宋_GB2312" w:hAnsi="仿宋_GB2312" w:cs="仿宋_GB2312" w:eastAsia="仿宋_GB2312"/>
              </w:rPr>
              <w:t>法定代表人直接参加磋商的，须提交《法定代表人身份证明》和身份证电子版。法定代表人授权委托代理人参加磋商的，须提交《法定代表人授权委托书》；</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提供（2024年1月1日至今）任意一个月的纳税证明或完税证明（纳税证明或完税证明上应有代收机构或税务机关的公章或业务专用章）；依法免税的供应商应提供相关证明文件；</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供应商信用情况</w:t>
            </w:r>
          </w:p>
        </w:tc>
        <w:tc>
          <w:tcPr>
            <w:tcW w:type="dxa" w:w="3322"/>
          </w:tcPr>
          <w:p>
            <w:pPr>
              <w:pStyle w:val="null3"/>
            </w:pPr>
            <w:r>
              <w:rPr>
                <w:rFonts w:ascii="仿宋_GB2312" w:hAnsi="仿宋_GB2312" w:cs="仿宋_GB2312" w:eastAsia="仿宋_GB2312"/>
              </w:rPr>
              <w:t>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供应商重大违法记录情况</w:t>
            </w:r>
          </w:p>
        </w:tc>
        <w:tc>
          <w:tcPr>
            <w:tcW w:type="dxa" w:w="3322"/>
          </w:tcPr>
          <w:p>
            <w:pPr>
              <w:pStyle w:val="null3"/>
            </w:pPr>
            <w:r>
              <w:rPr>
                <w:rFonts w:ascii="仿宋_GB2312" w:hAnsi="仿宋_GB2312" w:cs="仿宋_GB2312" w:eastAsia="仿宋_GB2312"/>
              </w:rPr>
              <w:t>供应商应具备良好的商业信誉，在参加政府采购活动前三年内在经营活动中没有重大违法记录；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供应商技术能力要求</w:t>
            </w:r>
          </w:p>
        </w:tc>
        <w:tc>
          <w:tcPr>
            <w:tcW w:type="dxa" w:w="3322"/>
          </w:tcPr>
          <w:p>
            <w:pPr>
              <w:pStyle w:val="null3"/>
            </w:pPr>
            <w:r>
              <w:rPr>
                <w:rFonts w:ascii="仿宋_GB2312" w:hAnsi="仿宋_GB2312" w:cs="仿宋_GB2312" w:eastAsia="仿宋_GB2312"/>
              </w:rPr>
              <w:t>供应商应具有履行合同所必需的设备和专业技术能力；</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使用除微型以外的民用无人驾驶航空器从事飞行活动的供应商应提供有效的《民用无人驾驶航空器运营合格证》；</w:t>
            </w:r>
          </w:p>
        </w:tc>
        <w:tc>
          <w:tcPr>
            <w:tcW w:type="dxa" w:w="1661"/>
          </w:tcPr>
          <w:p>
            <w:pPr>
              <w:pStyle w:val="null3"/>
            </w:pPr>
            <w:r>
              <w:rPr>
                <w:rFonts w:ascii="仿宋_GB2312" w:hAnsi="仿宋_GB2312" w:cs="仿宋_GB2312" w:eastAsia="仿宋_GB2312"/>
              </w:rPr>
              <w:t>供应商应提交的相关资格证明材料包1.docx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供应商主体要求</w:t>
            </w:r>
          </w:p>
        </w:tc>
        <w:tc>
          <w:tcPr>
            <w:tcW w:type="dxa" w:w="3322"/>
          </w:tcPr>
          <w:p>
            <w:pPr>
              <w:pStyle w:val="null3"/>
            </w:pPr>
            <w:r>
              <w:rPr>
                <w:rFonts w:ascii="仿宋_GB2312" w:hAnsi="仿宋_GB2312" w:cs="仿宋_GB2312" w:eastAsia="仿宋_GB2312"/>
              </w:rPr>
              <w:t>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供应商授权代表要求</w:t>
            </w:r>
          </w:p>
        </w:tc>
        <w:tc>
          <w:tcPr>
            <w:tcW w:type="dxa" w:w="3322"/>
          </w:tcPr>
          <w:p>
            <w:pPr>
              <w:pStyle w:val="null3"/>
            </w:pPr>
            <w:r>
              <w:rPr>
                <w:rFonts w:ascii="仿宋_GB2312" w:hAnsi="仿宋_GB2312" w:cs="仿宋_GB2312" w:eastAsia="仿宋_GB2312"/>
              </w:rPr>
              <w:t>法定代表人直接参加磋商的，须提交《法定代表人身份证明》和身份证电子版。法定代表人授权委托代理人参加磋商的，须提交《法定代表人授权委托书》；</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提供（2024年1月1日至今）任意一个月的纳税证明或完税证明（纳税证明或完税证明上应有代收机构或税务机关的公章或业务专用章）；依法免税的供应商应提供相关证明文件；</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供应商信用情况</w:t>
            </w:r>
          </w:p>
        </w:tc>
        <w:tc>
          <w:tcPr>
            <w:tcW w:type="dxa" w:w="3322"/>
          </w:tcPr>
          <w:p>
            <w:pPr>
              <w:pStyle w:val="null3"/>
            </w:pPr>
            <w:r>
              <w:rPr>
                <w:rFonts w:ascii="仿宋_GB2312" w:hAnsi="仿宋_GB2312" w:cs="仿宋_GB2312" w:eastAsia="仿宋_GB2312"/>
              </w:rPr>
              <w:t>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供应商重大违法记录情况</w:t>
            </w:r>
          </w:p>
        </w:tc>
        <w:tc>
          <w:tcPr>
            <w:tcW w:type="dxa" w:w="3322"/>
          </w:tcPr>
          <w:p>
            <w:pPr>
              <w:pStyle w:val="null3"/>
            </w:pPr>
            <w:r>
              <w:rPr>
                <w:rFonts w:ascii="仿宋_GB2312" w:hAnsi="仿宋_GB2312" w:cs="仿宋_GB2312" w:eastAsia="仿宋_GB2312"/>
              </w:rPr>
              <w:t>供应商应具备良好的商业信誉，在参加政府采购活动前三年内在经营活动中没有重大违法记录；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供应商技术能力要求</w:t>
            </w:r>
          </w:p>
        </w:tc>
        <w:tc>
          <w:tcPr>
            <w:tcW w:type="dxa" w:w="3322"/>
          </w:tcPr>
          <w:p>
            <w:pPr>
              <w:pStyle w:val="null3"/>
            </w:pPr>
            <w:r>
              <w:rPr>
                <w:rFonts w:ascii="仿宋_GB2312" w:hAnsi="仿宋_GB2312" w:cs="仿宋_GB2312" w:eastAsia="仿宋_GB2312"/>
              </w:rPr>
              <w:t>供应商应具有履行合同所必需的设备和专业技术能力；</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（1）使用除微型以外的民用无人驾驶航空器从事飞行活动的供应商应提供有效的《民用无人驾驶航空器运营合格证》； （2）供应商应具备测绘地理信息主管部门颁发的乙级及以上《测绘资质证书》，且在有效期内；</w:t>
            </w:r>
          </w:p>
        </w:tc>
        <w:tc>
          <w:tcPr>
            <w:tcW w:type="dxa" w:w="1661"/>
          </w:tcPr>
          <w:p>
            <w:pPr>
              <w:pStyle w:val="null3"/>
            </w:pPr>
            <w:r>
              <w:rPr>
                <w:rFonts w:ascii="仿宋_GB2312" w:hAnsi="仿宋_GB2312" w:cs="仿宋_GB2312" w:eastAsia="仿宋_GB2312"/>
              </w:rPr>
              <w:t>供应商应提交的相关资格证明材料包2.docx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分项价格明细表包1.docx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供应商信息的一致性</w:t>
            </w:r>
          </w:p>
        </w:tc>
        <w:tc>
          <w:tcPr>
            <w:tcW w:type="dxa" w:w="3322"/>
          </w:tcPr>
          <w:p>
            <w:pPr>
              <w:pStyle w:val="null3"/>
            </w:pPr>
            <w:r>
              <w:rPr>
                <w:rFonts w:ascii="仿宋_GB2312" w:hAnsi="仿宋_GB2312" w:cs="仿宋_GB2312" w:eastAsia="仿宋_GB2312"/>
              </w:rPr>
              <w:t>供应商名称与其营业执照、资质（如果有）、证明材料相符，字章一致。</w:t>
            </w:r>
          </w:p>
        </w:tc>
        <w:tc>
          <w:tcPr>
            <w:tcW w:type="dxa" w:w="1661"/>
          </w:tcPr>
          <w:p>
            <w:pPr>
              <w:pStyle w:val="null3"/>
            </w:pPr>
            <w:r>
              <w:rPr>
                <w:rFonts w:ascii="仿宋_GB2312" w:hAnsi="仿宋_GB2312" w:cs="仿宋_GB2312" w:eastAsia="仿宋_GB2312"/>
              </w:rPr>
              <w:t>响应文件封面 供应商须提供的其他资料.docx 中小企业声明函 残疾人福利性单位声明函 商务应答表 服务方案 供应商应提交的相关资格证明材料包1.docx 标的清单 报价表 响应函 监狱企业的证明文件 分项价格明细表包1.docx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响应文件的签字、盖章是否符合磋商文件要求。</w:t>
            </w:r>
          </w:p>
        </w:tc>
        <w:tc>
          <w:tcPr>
            <w:tcW w:type="dxa" w:w="1661"/>
          </w:tcPr>
          <w:p>
            <w:pPr>
              <w:pStyle w:val="null3"/>
            </w:pPr>
            <w:r>
              <w:rPr>
                <w:rFonts w:ascii="仿宋_GB2312" w:hAnsi="仿宋_GB2312" w:cs="仿宋_GB2312" w:eastAsia="仿宋_GB2312"/>
              </w:rPr>
              <w:t>响应文件封面 供应商须提供的其他资料.docx 中小企业声明函 残疾人福利性单位声明函 商务应答表 服务方案 供应商应提交的相关资格证明材料包1.docx 标的清单 报价表 响应函 监狱企业的证明文件 分项价格明细表包1.docx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报价是否唯一有效，且未超过采购预算或最高限价。</w:t>
            </w:r>
          </w:p>
        </w:tc>
        <w:tc>
          <w:tcPr>
            <w:tcW w:type="dxa" w:w="1661"/>
          </w:tcPr>
          <w:p>
            <w:pPr>
              <w:pStyle w:val="null3"/>
            </w:pPr>
            <w:r>
              <w:rPr>
                <w:rFonts w:ascii="仿宋_GB2312" w:hAnsi="仿宋_GB2312" w:cs="仿宋_GB2312" w:eastAsia="仿宋_GB2312"/>
              </w:rPr>
              <w:t>标的清单 报价表 分项价格明细表包1.docx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磋商文件规定的实质性要求</w:t>
            </w:r>
          </w:p>
        </w:tc>
        <w:tc>
          <w:tcPr>
            <w:tcW w:type="dxa" w:w="3322"/>
          </w:tcPr>
          <w:p>
            <w:pPr>
              <w:pStyle w:val="null3"/>
            </w:pPr>
            <w:r>
              <w:rPr>
                <w:rFonts w:ascii="仿宋_GB2312" w:hAnsi="仿宋_GB2312" w:cs="仿宋_GB2312" w:eastAsia="仿宋_GB2312"/>
              </w:rPr>
              <w:t>供应商应完全响应</w:t>
            </w:r>
          </w:p>
        </w:tc>
        <w:tc>
          <w:tcPr>
            <w:tcW w:type="dxa" w:w="1661"/>
          </w:tcPr>
          <w:p>
            <w:pPr>
              <w:pStyle w:val="null3"/>
            </w:pPr>
            <w:r>
              <w:rPr>
                <w:rFonts w:ascii="仿宋_GB2312" w:hAnsi="仿宋_GB2312" w:cs="仿宋_GB2312" w:eastAsia="仿宋_GB2312"/>
              </w:rPr>
              <w:t>响应文件封面 供应商须提供的其他资料.docx 中小企业声明函 残疾人福利性单位声明函 商务应答表 服务方案 供应商应提交的相关资格证明材料包1.docx 标的清单 报价表 响应函 监狱企业的证明文件 分项价格明细表包1.docx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国家法律法规及采购文件规定的其他无效响应</w:t>
            </w:r>
          </w:p>
        </w:tc>
        <w:tc>
          <w:tcPr>
            <w:tcW w:type="dxa" w:w="1661"/>
          </w:tcPr>
          <w:p>
            <w:pPr>
              <w:pStyle w:val="null3"/>
            </w:pPr>
            <w:r>
              <w:rPr>
                <w:rFonts w:ascii="仿宋_GB2312" w:hAnsi="仿宋_GB2312" w:cs="仿宋_GB2312" w:eastAsia="仿宋_GB2312"/>
              </w:rPr>
              <w:t>响应文件封面 供应商须提供的其他资料.docx 中小企业声明函 残疾人福利性单位声明函 商务应答表 服务方案 供应商应提交的相关资格证明材料包1.docx 标的清单 报价表 响应函 监狱企业的证明文件 分项价格明细表包1.docx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分项价格明细表包2.docx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供应商信息的一致性</w:t>
            </w:r>
          </w:p>
        </w:tc>
        <w:tc>
          <w:tcPr>
            <w:tcW w:type="dxa" w:w="3322"/>
          </w:tcPr>
          <w:p>
            <w:pPr>
              <w:pStyle w:val="null3"/>
            </w:pPr>
            <w:r>
              <w:rPr>
                <w:rFonts w:ascii="仿宋_GB2312" w:hAnsi="仿宋_GB2312" w:cs="仿宋_GB2312" w:eastAsia="仿宋_GB2312"/>
              </w:rPr>
              <w:t>供应商名称与其营业执照、资质（如果有）、证明材料相符，字章一致。</w:t>
            </w:r>
          </w:p>
        </w:tc>
        <w:tc>
          <w:tcPr>
            <w:tcW w:type="dxa" w:w="1661"/>
          </w:tcPr>
          <w:p>
            <w:pPr>
              <w:pStyle w:val="null3"/>
            </w:pPr>
            <w:r>
              <w:rPr>
                <w:rFonts w:ascii="仿宋_GB2312" w:hAnsi="仿宋_GB2312" w:cs="仿宋_GB2312" w:eastAsia="仿宋_GB2312"/>
              </w:rPr>
              <w:t>响应文件封面 供应商应提交的相关资格证明材料包2.docx 供应商须提供的其他资料.docx 分项价格明细表包2.docx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响应文件的签字、盖章是否符合磋商文件要求。</w:t>
            </w:r>
          </w:p>
        </w:tc>
        <w:tc>
          <w:tcPr>
            <w:tcW w:type="dxa" w:w="1661"/>
          </w:tcPr>
          <w:p>
            <w:pPr>
              <w:pStyle w:val="null3"/>
            </w:pPr>
            <w:r>
              <w:rPr>
                <w:rFonts w:ascii="仿宋_GB2312" w:hAnsi="仿宋_GB2312" w:cs="仿宋_GB2312" w:eastAsia="仿宋_GB2312"/>
              </w:rPr>
              <w:t>响应文件封面 供应商应提交的相关资格证明材料包2.docx 供应商须提供的其他资料.docx 分项价格明细表包2.docx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报价是否唯一有效，且未超过采购预算或最高限价。</w:t>
            </w:r>
          </w:p>
        </w:tc>
        <w:tc>
          <w:tcPr>
            <w:tcW w:type="dxa" w:w="1661"/>
          </w:tcPr>
          <w:p>
            <w:pPr>
              <w:pStyle w:val="null3"/>
            </w:pPr>
            <w:r>
              <w:rPr>
                <w:rFonts w:ascii="仿宋_GB2312" w:hAnsi="仿宋_GB2312" w:cs="仿宋_GB2312" w:eastAsia="仿宋_GB2312"/>
              </w:rPr>
              <w:t>分项价格明细表包2.docx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磋商文件规定的实质性要求</w:t>
            </w:r>
          </w:p>
        </w:tc>
        <w:tc>
          <w:tcPr>
            <w:tcW w:type="dxa" w:w="3322"/>
          </w:tcPr>
          <w:p>
            <w:pPr>
              <w:pStyle w:val="null3"/>
            </w:pPr>
            <w:r>
              <w:rPr>
                <w:rFonts w:ascii="仿宋_GB2312" w:hAnsi="仿宋_GB2312" w:cs="仿宋_GB2312" w:eastAsia="仿宋_GB2312"/>
              </w:rPr>
              <w:t>供应商应完全响应</w:t>
            </w:r>
          </w:p>
        </w:tc>
        <w:tc>
          <w:tcPr>
            <w:tcW w:type="dxa" w:w="1661"/>
          </w:tcPr>
          <w:p>
            <w:pPr>
              <w:pStyle w:val="null3"/>
            </w:pPr>
            <w:r>
              <w:rPr>
                <w:rFonts w:ascii="仿宋_GB2312" w:hAnsi="仿宋_GB2312" w:cs="仿宋_GB2312" w:eastAsia="仿宋_GB2312"/>
              </w:rPr>
              <w:t>响应文件封面 供应商应提交的相关资格证明材料包2.docx 供应商须提供的其他资料.docx 分项价格明细表包2.docx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国家法律法规及采购文件规定的其他无效响应</w:t>
            </w:r>
          </w:p>
        </w:tc>
        <w:tc>
          <w:tcPr>
            <w:tcW w:type="dxa" w:w="1661"/>
          </w:tcPr>
          <w:p>
            <w:pPr>
              <w:pStyle w:val="null3"/>
            </w:pPr>
            <w:r>
              <w:rPr>
                <w:rFonts w:ascii="仿宋_GB2312" w:hAnsi="仿宋_GB2312" w:cs="仿宋_GB2312" w:eastAsia="仿宋_GB2312"/>
              </w:rPr>
              <w:t>响应文件封面 供应商应提交的相关资格证明材料包2.docx 供应商须提供的其他资料.docx 分项价格明细表包2.docx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供应商自2022年1月1日以来承接过无人机巡查业绩或航测业绩，每个得1分，满分5分。 （以合同或中标/成交通知书扫描件加盖公章为准）。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供应商须提供的其他资料.docx</w:t>
            </w:r>
          </w:p>
        </w:tc>
      </w:tr>
      <w:tr>
        <w:tc>
          <w:tcPr>
            <w:tcW w:type="dxa" w:w="831"/>
            <w:vMerge/>
          </w:tcPr>
          <w:p/>
        </w:tc>
        <w:tc>
          <w:tcPr>
            <w:tcW w:type="dxa" w:w="1661"/>
          </w:tcPr>
          <w:p>
            <w:pPr>
              <w:pStyle w:val="null3"/>
            </w:pPr>
            <w:r>
              <w:rPr>
                <w:rFonts w:ascii="仿宋_GB2312" w:hAnsi="仿宋_GB2312" w:cs="仿宋_GB2312" w:eastAsia="仿宋_GB2312"/>
              </w:rPr>
              <w:t>巡查实施方案</w:t>
            </w:r>
          </w:p>
        </w:tc>
        <w:tc>
          <w:tcPr>
            <w:tcW w:type="dxa" w:w="2492"/>
          </w:tcPr>
          <w:p>
            <w:pPr>
              <w:pStyle w:val="null3"/>
            </w:pPr>
            <w:r>
              <w:rPr>
                <w:rFonts w:ascii="仿宋_GB2312" w:hAnsi="仿宋_GB2312" w:cs="仿宋_GB2312" w:eastAsia="仿宋_GB2312"/>
              </w:rPr>
              <w:t>（1）根据采购需求制定相关巡查实施方案，方案包含对项目的理解及工作思路、任务目标、作业依据等，整体实施方案条理清晰、内容完整、详细、可操作性强。得[10～5]分； （2）未达到上述要求的，得(5～0]分； 注：1、“[、]”表示包含本数，“(、)”表示不包含本数。2、未提供不得分。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（1）项目资料的整理包含问题清单的判断及分析，资料规整、分类的方式等，项目资料的整理条理清晰、内容完整、详细、可操作性强，得[10～5]分； （2）未达到上述要求的，得(5～0]分； 注：1、“[、]”表示包含本数，“(、)”表示不包含本数。2、未提供不得分。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巡检次数</w:t>
            </w:r>
          </w:p>
        </w:tc>
        <w:tc>
          <w:tcPr>
            <w:tcW w:type="dxa" w:w="2492"/>
          </w:tcPr>
          <w:p>
            <w:pPr>
              <w:pStyle w:val="null3"/>
            </w:pPr>
            <w:r>
              <w:rPr>
                <w:rFonts w:ascii="仿宋_GB2312" w:hAnsi="仿宋_GB2312" w:cs="仿宋_GB2312" w:eastAsia="仿宋_GB2312"/>
              </w:rPr>
              <w:t>在满足采购需求的前提下，供应商可以结合自身情况，提供更优的服务巡检次数。 （1）当满足采购需求最低要求时，得基本分5分； （2）当供应商提供的巡检次数每优于平均巡检次数1次，加1分；最高加5分； 注：平均巡检次数等于所有进入详细评审的供应商填写的巡检次数的平均值，平均值取整，小数点后1位四舍五入。若供应商响应文件中出现巡检次数前后不一致时，以分项报价表显示巡检次数为准。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单次巡检时长</w:t>
            </w:r>
          </w:p>
        </w:tc>
        <w:tc>
          <w:tcPr>
            <w:tcW w:type="dxa" w:w="2492"/>
          </w:tcPr>
          <w:p>
            <w:pPr>
              <w:pStyle w:val="null3"/>
            </w:pPr>
            <w:r>
              <w:rPr>
                <w:rFonts w:ascii="仿宋_GB2312" w:hAnsi="仿宋_GB2312" w:cs="仿宋_GB2312" w:eastAsia="仿宋_GB2312"/>
              </w:rPr>
              <w:t>在满足采购需求（单次巡检时长不大于15天）的前提下，供应商可以结合自身情况，提供更优的单次巡检时长。 （1）当满足采购需求最低要求时，得基本分5分； （2）当供应商提供的单次巡检时长每少于单次平均巡检时长1天，加2分；最高加8分； 注：单次平均巡检时长等于所有进入详细评审的供应商填写的单次平均巡检时长的平均值，平均值取整，小数点后1位四舍五入。若供应商响应文件中出现单次巡检周期前后不一致时，以最多单次巡检周期天数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投入工作班组</w:t>
            </w:r>
          </w:p>
        </w:tc>
        <w:tc>
          <w:tcPr>
            <w:tcW w:type="dxa" w:w="2492"/>
          </w:tcPr>
          <w:p>
            <w:pPr>
              <w:pStyle w:val="null3"/>
            </w:pPr>
            <w:r>
              <w:rPr>
                <w:rFonts w:ascii="仿宋_GB2312" w:hAnsi="仿宋_GB2312" w:cs="仿宋_GB2312" w:eastAsia="仿宋_GB2312"/>
              </w:rPr>
              <w:t>项目组每配备1名无人机操控人员及1名专业（中级及以上）工程师（计1个工作组），每个工作组计2分，最多计10分；未提供不计分。 （无人机操控人员人员需提供CAAC无人机执照证书复印件加盖公章，专业工程师提供其职称证书复印件加盖公章。工程师专业是指：建筑工程、土木工程、机电工程）</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无人机相关设备配备</w:t>
            </w:r>
          </w:p>
        </w:tc>
        <w:tc>
          <w:tcPr>
            <w:tcW w:type="dxa" w:w="2492"/>
          </w:tcPr>
          <w:p>
            <w:pPr>
              <w:pStyle w:val="null3"/>
            </w:pPr>
            <w:r>
              <w:rPr>
                <w:rFonts w:ascii="仿宋_GB2312" w:hAnsi="仿宋_GB2312" w:cs="仿宋_GB2312" w:eastAsia="仿宋_GB2312"/>
              </w:rPr>
              <w:t>根据“第三章”的无人机设备及技术要求，提供无人机及相关设备清单，并根据《无人驾驶航空器飞行管理暂行条例》中相关无人机等级划分标准，提供相关参数证明材料（证明材料不限于：出厂检测报告、产品彩页、产品说明书等），明确其无人及设备所属等级。 （1）以上证明资料内容完整、配置合理，得[12～6]分； （2）以上证明资料内容不完整、配置不合理，得(6～0)分。 注：“[、]”表示包含本数，“(、)”表示不包含本数。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服务质量保证措施包括但不限于：设备维护保养、人员安全作业培训、飞行过程安全保障等，根据相关措施的可实施性、完整性及合理性进行打分。 （1）以上措施内容完整、合理可行、有较强的可实施性。得[12～6]分； （2）以上措施内容不完整、不可行、基本不可实施。得(6～0]分。 注：1、“[、]”表示包含本数，“(、)”表示不包含本数。2、未提供不得分。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应急处置方案包扩但不限于：应急处置危险等级及响应时间、突发事件处置方案、对外界环境可能造成的影响及应对措施等，根据相关方案的可实施性、完整性及合理性进行打分。 （1）以上方案内容完整、合理可行、有较强的可实施性。得[8～4]分； （2）以上方案内容不完整、不可行、基本不可实施。得(4～0]分。 注：1、“[、]”表示包含本数，“(、)”表示不包含本数。2、未提供不得分。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分项价格明细表包1.docx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供应商自2022年1月1日以来承接过无人机测绘业绩，每个得2分，满分8分。 （以合同或中标/成交通知书扫描件加盖公章为准）。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供应商须提供的其他资料.docx</w:t>
            </w:r>
          </w:p>
        </w:tc>
      </w:tr>
      <w:tr>
        <w:tc>
          <w:tcPr>
            <w:tcW w:type="dxa" w:w="831"/>
            <w:vMerge/>
          </w:tcPr>
          <w:p/>
        </w:tc>
        <w:tc>
          <w:tcPr>
            <w:tcW w:type="dxa" w:w="1661"/>
          </w:tcPr>
          <w:p>
            <w:pPr>
              <w:pStyle w:val="null3"/>
            </w:pPr>
            <w:r>
              <w:rPr>
                <w:rFonts w:ascii="仿宋_GB2312" w:hAnsi="仿宋_GB2312" w:cs="仿宋_GB2312" w:eastAsia="仿宋_GB2312"/>
              </w:rPr>
              <w:t>前期准备实施方案</w:t>
            </w:r>
          </w:p>
        </w:tc>
        <w:tc>
          <w:tcPr>
            <w:tcW w:type="dxa" w:w="2492"/>
          </w:tcPr>
          <w:p>
            <w:pPr>
              <w:pStyle w:val="null3"/>
            </w:pPr>
            <w:r>
              <w:rPr>
                <w:rFonts w:ascii="仿宋_GB2312" w:hAnsi="仿宋_GB2312" w:cs="仿宋_GB2312" w:eastAsia="仿宋_GB2312"/>
              </w:rPr>
              <w:t>（1）根据采购需求制定相关测绘实施方案，方案包含对项目的理解及工作思路、任务目标、作业依据等，整体实施方案条理清晰、内容完整、详细、可操作性强。得[16～5]分； （2）未达到上述要求的，得(5～0]分； 注：1、“[、]”表示包含本数，“(、)”表示不包含本数。2、未提供不得分。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项目资料的整理</w:t>
            </w:r>
          </w:p>
        </w:tc>
        <w:tc>
          <w:tcPr>
            <w:tcW w:type="dxa" w:w="2492"/>
          </w:tcPr>
          <w:p>
            <w:pPr>
              <w:pStyle w:val="null3"/>
            </w:pPr>
            <w:r>
              <w:rPr>
                <w:rFonts w:ascii="仿宋_GB2312" w:hAnsi="仿宋_GB2312" w:cs="仿宋_GB2312" w:eastAsia="仿宋_GB2312"/>
              </w:rPr>
              <w:t>（1）项目资料的整理包含正射影像图的技术参数要求，资料规整、分类的方式等，项目资料的整理条理清晰、内容完整、详细、可操作性强，得[15～8]分； （2）未达到上述要求的，得(8～0]分； 注：1、“[、]”表示包含本数，“(、)”表示不包含本数。2、未提供不得分。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投入工作班组</w:t>
            </w:r>
          </w:p>
        </w:tc>
        <w:tc>
          <w:tcPr>
            <w:tcW w:type="dxa" w:w="2492"/>
          </w:tcPr>
          <w:p>
            <w:pPr>
              <w:pStyle w:val="null3"/>
            </w:pPr>
            <w:r>
              <w:rPr>
                <w:rFonts w:ascii="仿宋_GB2312" w:hAnsi="仿宋_GB2312" w:cs="仿宋_GB2312" w:eastAsia="仿宋_GB2312"/>
              </w:rPr>
              <w:t>项目组每配备1名无人机操控人员及1个测绘专业（中级及以上）工程师（计1个工作组），每个工作组计2分，最多计10分；未提供不计分。 （注：无人机操控人员人员需提供CAAC无人机执照证书复印件加盖公章、测绘专业工程师提供其职称证书复印件加盖公章。测绘专业是指：大地测量、工程测量、摄影测量、遥感、地图制图、地理信息、地籍测绘、测绘工程、矿山测量、海洋测绘、导航工程、土地管理、地理国情监测等专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无人机相关设备配备</w:t>
            </w:r>
          </w:p>
        </w:tc>
        <w:tc>
          <w:tcPr>
            <w:tcW w:type="dxa" w:w="2492"/>
          </w:tcPr>
          <w:p>
            <w:pPr>
              <w:pStyle w:val="null3"/>
            </w:pPr>
            <w:r>
              <w:rPr>
                <w:rFonts w:ascii="仿宋_GB2312" w:hAnsi="仿宋_GB2312" w:cs="仿宋_GB2312" w:eastAsia="仿宋_GB2312"/>
              </w:rPr>
              <w:t>根据“第三章”的无人机设备及技术要求，提供无人机及相关设备清单，并根据《无人驾驶航空器飞行管理暂行条例》中相关无人机等级划分标准，提供相关参数证明材料（证明材料不限于：出厂检测报告、产品彩页、产品说明书等），明确其无人及设备所属等级。 （1）以上证明资料内容完整、配置合理，得[14～7]分； （2）以上证明资料内容不完整、配置不合理，得(7～0)分。 注：1、“[、]”表示包含本数，“(、)”表示不包含本数。</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服务质量保证措施包扩但不限于：设备维护保养、人员安全作业培训、飞行过程安全保障等，根据相关措施的可实施性、完整性及合理性进行打分。 （1）以上措施内容完整、合理可行、有较强的可实施性。得[14～7]分； （2）以上措施内容不完整、不可行、基本不可实施。得(7～0]分。 注：1、“[、]”表示包含本数，“(、)”表示不包含本数。2、未提供不得分。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应急处置方案包扩但不限于：应急处置危险等级及响应时间、突发事件处置方案、对外界环境可能造成的影响及应对措施等，根据相关措施的可实施性、完整性及合理性进行打分。 （1）以上措施内容完整、合理可行、有较强的可实施性。得[8～4]分； （2）以上措施内容不完整、不可行、基本不可实施。得(4～0]分。 注：1、“[、]”表示包含本数，“(、)”表示不包含本数。2、未提供不得分。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分项价格明细表包2.docx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详见附件：供应商应提交的相关资格证明材料包1.docx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详见附件：分项价格明细表包1.docx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详见附件：供应商须提供的其他资料.docx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详见附件：供应商应提交的相关资格证明材料包2.docx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详见附件：分项价格明细表包2.docx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详见附件：供应商须提供的其他资料.docx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