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版本号：ZJCG2025-05-0120250514002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新城法院档案寄存项目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ZJCG2025-05-01</w:t>
      </w:r>
      <w:r>
        <w:br/>
      </w:r>
      <w:r>
        <w:br/>
      </w:r>
      <w:r>
        <w:br/>
      </w:r>
    </w:p>
    <w:p>
      <w:pPr>
        <w:pStyle w:val="null3"/>
        <w:jc w:val="center"/>
        <w:outlineLvl w:val="2"/>
      </w:pPr>
      <w:r>
        <w:rPr>
          <w:rFonts w:ascii="仿宋_GB2312" w:hAnsi="仿宋_GB2312" w:cs="仿宋_GB2312" w:eastAsia="仿宋_GB2312"/>
          <w:sz w:val="28"/>
          <w:b/>
        </w:rPr>
        <w:t>西安市新城区人民法院[153]</w:t>
      </w:r>
    </w:p>
    <w:p>
      <w:pPr>
        <w:pStyle w:val="null3"/>
        <w:jc w:val="center"/>
        <w:outlineLvl w:val="2"/>
      </w:pPr>
      <w:r>
        <w:rPr>
          <w:rFonts w:ascii="仿宋_GB2312" w:hAnsi="仿宋_GB2312" w:cs="仿宋_GB2312" w:eastAsia="仿宋_GB2312"/>
          <w:sz w:val="28"/>
          <w:b/>
        </w:rPr>
        <w:t>陕西贞吉建设项目管理有限公司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陕西贞吉建设项目管理有限公司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西安市新城区人民法院[153]</w:t>
      </w:r>
      <w:r>
        <w:rPr>
          <w:rFonts w:ascii="仿宋_GB2312" w:hAnsi="仿宋_GB2312" w:cs="仿宋_GB2312" w:eastAsia="仿宋_GB2312"/>
        </w:rPr>
        <w:t>委托，拟对</w:t>
      </w:r>
      <w:r>
        <w:rPr>
          <w:rFonts w:ascii="仿宋_GB2312" w:hAnsi="仿宋_GB2312" w:cs="仿宋_GB2312" w:eastAsia="仿宋_GB2312"/>
        </w:rPr>
        <w:t>新城法院档案寄存项目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ZJCG2025-05-01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新城法院档案寄存项目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档案寄存托管服务。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采购包1（新城法院档案寄存项目）：属于专门面向中小企业采购。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1、具备独立承担民事责任的能力，具有法人、事业法人、其它组织或自然人的营业执照等证明文件：具备独立承担民事责任的能力，具有法人、事业法人、其它组织或自然人的营业执照等证明文件，合法有效</w:t>
      </w:r>
    </w:p>
    <w:p>
      <w:pPr>
        <w:pStyle w:val="null3"/>
      </w:pPr>
      <w:r>
        <w:rPr>
          <w:rFonts w:ascii="仿宋_GB2312" w:hAnsi="仿宋_GB2312" w:cs="仿宋_GB2312" w:eastAsia="仿宋_GB2312"/>
        </w:rPr>
        <w:t>2、法定代表人授权书及被授权人身份证复印件加盖公章；(法定代表人直接参加投标，只须提交其身份证及其复印件)：法定代表人授权书及被授权人身份证复印件加盖公章；(法定代表人直接参加投标，只须提交其身份证及其复印件)，合法有效</w:t>
      </w:r>
    </w:p>
    <w:p>
      <w:pPr>
        <w:pStyle w:val="null3"/>
      </w:pPr>
      <w:r>
        <w:rPr>
          <w:rFonts w:ascii="仿宋_GB2312" w:hAnsi="仿宋_GB2312" w:cs="仿宋_GB2312" w:eastAsia="仿宋_GB2312"/>
        </w:rPr>
        <w:t>3、提供具有履行合同所必需的设备和专业技术能力的承诺：提供具有履行合同所必需的设备和专业技术能力的承诺，提供承诺函，真实有效</w:t>
      </w:r>
    </w:p>
    <w:p>
      <w:pPr>
        <w:pStyle w:val="null3"/>
      </w:pPr>
      <w:r>
        <w:rPr>
          <w:rFonts w:ascii="仿宋_GB2312" w:hAnsi="仿宋_GB2312" w:cs="仿宋_GB2312" w:eastAsia="仿宋_GB2312"/>
        </w:rPr>
        <w:t>4、提供2024年9月1日起至开标时间前已缴纳的至少一个月的纳税证明或完税证明（税种应包含营业税或增值税或企业所得税），其中纳税证明或完税证明上应有代收机构或税务机关的公章或业务专用章，其他组织和自然人提供自2024年9月1日起至开标时间前至少一个月缴纳税收的凭据，依法免税的单位应提供相关证明材料：提供2024年9月1日起至开标时间前已缴纳的至少一个月的纳税证明或完税证明（税种应包含营业税或增值税或企业所得税），其中纳税证明或完税证明上应有代收机构或税务机关的公章或业务专用章，其他组织和自然人提供自2024年9月1日起至开标时间前至少一个月缴纳税收的凭据，依法免税的单位应提供相关证明材料，真实有效</w:t>
      </w:r>
    </w:p>
    <w:p>
      <w:pPr>
        <w:pStyle w:val="null3"/>
      </w:pPr>
      <w:r>
        <w:rPr>
          <w:rFonts w:ascii="仿宋_GB2312" w:hAnsi="仿宋_GB2312" w:cs="仿宋_GB2312" w:eastAsia="仿宋_GB2312"/>
        </w:rPr>
        <w:t>5、提供2024年9月1日起至开标时间前已缴存的至少一个月的社会保障资金缴存单据或社保机构开具的社会保险参保缴费情况证明，依法不需要缴纳社会保障资金的单位应提供相关证明材料：提供2024年9月1日起至开标时间前已缴存的至少一个月的社会保障资金缴存单据或社保机构开具的社会保险参保缴费情况证明，依法不需要缴纳社会保障资金的单位应提供相关证明材料，真实有效</w:t>
      </w:r>
    </w:p>
    <w:p>
      <w:pPr>
        <w:pStyle w:val="null3"/>
      </w:pPr>
      <w:r>
        <w:rPr>
          <w:rFonts w:ascii="仿宋_GB2312" w:hAnsi="仿宋_GB2312" w:cs="仿宋_GB2312" w:eastAsia="仿宋_GB2312"/>
        </w:rPr>
        <w:t>6、参加政府采购活动前3年内，在经营活动中没有重大违法记录的书面声明（格式自拟）：参加政府采购活动前3年内，在经营活动中没有重大违法记录的书面声明（格式自拟），提供声明函，真实有效</w:t>
      </w:r>
    </w:p>
    <w:p>
      <w:pPr>
        <w:pStyle w:val="null3"/>
      </w:pPr>
      <w:r>
        <w:rPr>
          <w:rFonts w:ascii="仿宋_GB2312" w:hAnsi="仿宋_GB2312" w:cs="仿宋_GB2312" w:eastAsia="仿宋_GB2312"/>
        </w:rPr>
        <w:t>7、供应商不得为“中国执行信息公开网”网站（http://zxgk.court.gov.cn/）中列入失信被执行人，不得为“信用中国”网站（www.creditchina.gov.cn）中列入重大税收违法失信主体的供应商，不得为中国政府采购网（www.ccgp.gov.cn）政府采购严重违法失信行为记录名单中被财政部门禁止参加政府采购活动的供应商：供应商不得为“中国执行信息公开网”网站（http://zxgk.court.gov.cn/）中列入失信被执行人，不得为“信用中国”网站（www.creditchina.gov.cn）中列入重大税收违法失信主体的供应商，不得为中国政府采购网（www.ccgp.gov.cn）政府采购严重违法失信行为记录名单中被财政部门禁止参加政府采购活动的供应商，（开标现场由代理机构代为查询），真实有效</w:t>
      </w:r>
    </w:p>
    <w:p>
      <w:pPr>
        <w:pStyle w:val="null3"/>
      </w:pPr>
      <w:r>
        <w:rPr>
          <w:rFonts w:ascii="仿宋_GB2312" w:hAnsi="仿宋_GB2312" w:cs="仿宋_GB2312" w:eastAsia="仿宋_GB2312"/>
        </w:rPr>
        <w:t>8、本项目专门面向中小企业采购；须符合《政府采购促进中小企业发展管理办法》（财库〔2020〕46号）规定的中小企业参加；(提供《中小企业声明函》）：本项目专门面向中小企业采购；须符合《政府采购促进中小企业发展管理办法》（财库〔2020〕46号）规定的中小企业参加；(提供《中小企业声明函》），(提供《中小企业声明函》），真实有效</w:t>
      </w:r>
    </w:p>
    <w:p>
      <w:pPr>
        <w:pStyle w:val="null3"/>
      </w:pPr>
      <w:r>
        <w:rPr>
          <w:rFonts w:ascii="仿宋_GB2312" w:hAnsi="仿宋_GB2312" w:cs="仿宋_GB2312" w:eastAsia="仿宋_GB2312"/>
        </w:rPr>
        <w:t>9、本次项目不接受联合体投标：本次项目不接受联合体投标，提供承诺函，真实有效</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西安市新城区人民法院[153]</w:t>
      </w:r>
    </w:p>
    <w:p>
      <w:pPr>
        <w:pStyle w:val="null3"/>
      </w:pPr>
      <w:r>
        <w:rPr>
          <w:rFonts w:ascii="仿宋_GB2312" w:hAnsi="仿宋_GB2312" w:cs="仿宋_GB2312" w:eastAsia="仿宋_GB2312"/>
        </w:rPr>
        <w:t xml:space="preserve"> 地址： </w:t>
      </w:r>
      <w:r>
        <w:rPr>
          <w:rFonts w:ascii="仿宋_GB2312" w:hAnsi="仿宋_GB2312" w:cs="仿宋_GB2312" w:eastAsia="仿宋_GB2312"/>
        </w:rPr>
        <w:t>含元路229号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西安市新城区人民法院[153]经办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86732774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陕西贞吉建设项目管理有限公司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西安市经济技术开发区赛高国际D座603室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陈洪雅、姜培栋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02986679931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供应商领取成交通知书时，由成交供应商按国家计委颁发的《招标代理服务收费管理暂行办法》（计价格[2002]1980号）、国家发展改革委员会办公厅颁发的《关于招标代理服务收费有关问题的通知》（发改办价格[2003] 857号）、《国家发展改革委关于降低部分建设项目收费标准规范收费行为等有关问题的通知》（发改价格[2011]534号）的有关规定，采购招标代理机构一次支付采购代理服务费，招标代理费用不足捌仟元（￥：8000元）时按捌仟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西安市新城区人民法院[153]</w:t>
      </w:r>
      <w:r>
        <w:rPr>
          <w:rFonts w:ascii="仿宋_GB2312" w:hAnsi="仿宋_GB2312" w:cs="仿宋_GB2312" w:eastAsia="仿宋_GB2312"/>
        </w:rPr>
        <w:t>和</w:t>
      </w:r>
      <w:r>
        <w:rPr>
          <w:rFonts w:ascii="仿宋_GB2312" w:hAnsi="仿宋_GB2312" w:cs="仿宋_GB2312" w:eastAsia="仿宋_GB2312"/>
        </w:rPr>
        <w:t>陕西贞吉建设项目管理有限公司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西安市新城区人民法院[153]</w:t>
      </w:r>
      <w:r>
        <w:rPr>
          <w:rFonts w:ascii="仿宋_GB2312" w:hAnsi="仿宋_GB2312" w:cs="仿宋_GB2312" w:eastAsia="仿宋_GB2312"/>
        </w:rPr>
        <w:t>负责解释。除上述磋商文件内容，其他内容由</w:t>
      </w:r>
      <w:r>
        <w:rPr>
          <w:rFonts w:ascii="仿宋_GB2312" w:hAnsi="仿宋_GB2312" w:cs="仿宋_GB2312" w:eastAsia="仿宋_GB2312"/>
        </w:rPr>
        <w:t>陕西贞吉建设项目管理有限公司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西安市新城区人民法院[153]</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陕西贞吉建设项目管理有限公司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陕西贞吉建设项目管理有限公司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陕西贞吉建设项目管理有限公司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陕西贞吉建设项目管理有限公司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联系人：陈工、姜工</w:t>
      </w:r>
    </w:p>
    <w:p>
      <w:pPr>
        <w:pStyle w:val="null3"/>
      </w:pPr>
      <w:r>
        <w:rPr>
          <w:rFonts w:ascii="仿宋_GB2312" w:hAnsi="仿宋_GB2312" w:cs="仿宋_GB2312" w:eastAsia="仿宋_GB2312"/>
        </w:rPr>
        <w:t>联系电话：029-86679931</w:t>
      </w:r>
    </w:p>
    <w:p>
      <w:pPr>
        <w:pStyle w:val="null3"/>
      </w:pPr>
      <w:r>
        <w:rPr>
          <w:rFonts w:ascii="仿宋_GB2312" w:hAnsi="仿宋_GB2312" w:cs="仿宋_GB2312" w:eastAsia="仿宋_GB2312"/>
        </w:rPr>
        <w:t>地址：西安市经济技术开发区赛高国际D座6层603室</w:t>
      </w:r>
    </w:p>
    <w:p>
      <w:pPr>
        <w:pStyle w:val="null3"/>
      </w:pPr>
      <w:r>
        <w:rPr>
          <w:rFonts w:ascii="仿宋_GB2312" w:hAnsi="仿宋_GB2312" w:cs="仿宋_GB2312" w:eastAsia="仿宋_GB2312"/>
        </w:rPr>
        <w:t>邮编：710021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档案寄存托管服务。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605,000.00</w:t>
      </w:r>
    </w:p>
    <w:p>
      <w:pPr>
        <w:pStyle w:val="null3"/>
      </w:pPr>
      <w:r>
        <w:rPr>
          <w:rFonts w:ascii="仿宋_GB2312" w:hAnsi="仿宋_GB2312" w:cs="仿宋_GB2312" w:eastAsia="仿宋_GB2312"/>
        </w:rPr>
        <w:t>采购包最高限价（元）: 605,000.00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605000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605,000.00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标的名称：605000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服务内容：</w:t>
            </w:r>
          </w:p>
          <w:p>
            <w:pPr>
              <w:pStyle w:val="null3"/>
              <w:jc w:val="both"/>
            </w:pPr>
            <w:r>
              <w:rPr>
                <w:rFonts w:ascii="仿宋_GB2312" w:hAnsi="仿宋_GB2312" w:cs="仿宋_GB2312" w:eastAsia="仿宋_GB2312"/>
                <w:sz w:val="20"/>
              </w:rPr>
              <w:t>1、提供符合要求的档案存储场地；</w:t>
            </w:r>
          </w:p>
          <w:p>
            <w:pPr>
              <w:pStyle w:val="null3"/>
              <w:jc w:val="both"/>
            </w:pPr>
            <w:r>
              <w:rPr>
                <w:rFonts w:ascii="仿宋_GB2312" w:hAnsi="仿宋_GB2312" w:cs="仿宋_GB2312" w:eastAsia="仿宋_GB2312"/>
                <w:sz w:val="20"/>
              </w:rPr>
              <w:t>2、档案库房提供一套托管档案信息管理系统，将所有托管档案相关信息录入系统，实现档案数据的系统和科学管理，满足快速查询利用的需求，并且能够实现数据的实时更新；</w:t>
            </w:r>
          </w:p>
          <w:p>
            <w:pPr>
              <w:pStyle w:val="null3"/>
              <w:jc w:val="both"/>
            </w:pPr>
            <w:r>
              <w:rPr>
                <w:rFonts w:ascii="仿宋_GB2312" w:hAnsi="仿宋_GB2312" w:cs="仿宋_GB2312" w:eastAsia="仿宋_GB2312"/>
                <w:sz w:val="20"/>
              </w:rPr>
              <w:t>3、提供托管诉讼档案的搬迁服务（含托管诉讼档案的整理、清点、装箱、出库、运送、入库；</w:t>
            </w:r>
          </w:p>
          <w:p>
            <w:pPr>
              <w:pStyle w:val="null3"/>
              <w:jc w:val="both"/>
            </w:pPr>
            <w:r>
              <w:rPr>
                <w:rFonts w:ascii="仿宋_GB2312" w:hAnsi="仿宋_GB2312" w:cs="仿宋_GB2312" w:eastAsia="仿宋_GB2312"/>
                <w:sz w:val="20"/>
              </w:rPr>
              <w:t>4、按照西安市</w:t>
            </w:r>
            <w:r>
              <w:rPr>
                <w:rFonts w:ascii="仿宋_GB2312" w:hAnsi="仿宋_GB2312" w:cs="仿宋_GB2312" w:eastAsia="仿宋_GB2312"/>
                <w:sz w:val="20"/>
              </w:rPr>
              <w:t>新城</w:t>
            </w:r>
            <w:r>
              <w:rPr>
                <w:rFonts w:ascii="仿宋_GB2312" w:hAnsi="仿宋_GB2312" w:cs="仿宋_GB2312" w:eastAsia="仿宋_GB2312"/>
                <w:sz w:val="20"/>
              </w:rPr>
              <w:t>区人民法院要求提供调阅、配送服务。</w:t>
            </w:r>
          </w:p>
          <w:p>
            <w:pPr>
              <w:pStyle w:val="null3"/>
              <w:jc w:val="both"/>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0"/>
              </w:rPr>
              <w:t>服务期：合同签订生效日期起一年或总预算金额执行完为止</w:t>
            </w:r>
            <w:r>
              <w:rPr>
                <w:rFonts w:ascii="仿宋_GB2312" w:hAnsi="仿宋_GB2312" w:cs="仿宋_GB2312" w:eastAsia="仿宋_GB2312"/>
                <w:sz w:val="20"/>
              </w:rPr>
              <w:t>。</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技术参数及标准：</w:t>
            </w:r>
          </w:p>
          <w:p>
            <w:pPr>
              <w:pStyle w:val="null3"/>
              <w:jc w:val="both"/>
            </w:pPr>
            <w:r>
              <w:rPr>
                <w:rFonts w:ascii="仿宋_GB2312" w:hAnsi="仿宋_GB2312" w:cs="仿宋_GB2312" w:eastAsia="仿宋_GB2312"/>
                <w:sz w:val="20"/>
              </w:rPr>
              <w:t>1、档案库房地址要求：要求档案库房选址具备地势较高、场地干燥、排水通畅、空气流通和环境安静的地段，远离污染源、高压输电线穿越和存放易燃、易爆物的场所至少500米以上。</w:t>
            </w:r>
          </w:p>
          <w:p>
            <w:pPr>
              <w:pStyle w:val="null3"/>
              <w:jc w:val="both"/>
            </w:pPr>
            <w:r>
              <w:rPr>
                <w:rFonts w:ascii="仿宋_GB2312" w:hAnsi="仿宋_GB2312" w:cs="仿宋_GB2312" w:eastAsia="仿宋_GB2312"/>
                <w:sz w:val="20"/>
              </w:rPr>
              <w:t>2、档案保管设备：档案库存储设备为符合国家标准的密集架、阁楼式货架等保管设备标准（提供相关证明材料）。</w:t>
            </w:r>
          </w:p>
          <w:p>
            <w:pPr>
              <w:pStyle w:val="null3"/>
              <w:jc w:val="both"/>
            </w:pPr>
            <w:r>
              <w:rPr>
                <w:rFonts w:ascii="仿宋_GB2312" w:hAnsi="仿宋_GB2312" w:cs="仿宋_GB2312" w:eastAsia="仿宋_GB2312"/>
                <w:sz w:val="20"/>
              </w:rPr>
              <w:t>3、档案库房技术标准要求：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1）档案库房的设计根据本市的气候特征，具备重点满足隔热、防潮、通风的需要，并遵守建筑设计防火的有关规定和规范。</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2）档案库主体应为框架结构，抗震烈度7及以上。</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档案服务商根据功能需求具备档案存储专库、对外服务用房、档案业务和技术用房、办公用房和其他附属用房等，满足档案寄存、托管各项业务工作需要，各类用房应相对独立，进行档案传送时不应通过露天通道。</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根据档案保管存储技术要求，长期和永久保管期限的客户档案，库房温湿度要求为：纸质载体档案，温度应控制在14℃～24℃，相对湿度应控制在45%～60%之间；每昼夜温度波动幅度不得大于±2℃，相对湿度波动幅度不得大于±5％，有效采取库房温湿度监控措施，加强温湿度测试，做好测试记录。</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档案库房耐火等级要求一级。库房屋顶应采取保温、隔热措施，案库区中同一防火分区内的库房之间的隔墙均应采用耐火极限不低于3.0h的防火墙，防火分区间及库区与其他部分之间的墙应采用耐火极限不低于4.0h的防火墙，其他内部隔墙可采用耐火极限不低于2.0h的不燃烧体。档案库中楼板的耐火极限不应低于1.5h。</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6）档案装具：密集架、文件柜、阁楼式货架等设备主通道净宽不应小于1.20m，两行档案装具间净宽不应小于0.80m，档案装具端部与墙的净距离不应小于0.60m，档案装具背部与墙的净距离不应小于0.10m。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7）档案库房内应做到恒温恒湿，并具备防火、防盗、防潮、防水、防尘、防高温、防光、防霉、防虫、防鼠、防有害气体等功能。</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8）档案库房内严禁设置明火设施，应按库房面积配置一定数量的温湿度检测调控设备、消防设备、防盗设备、档案消毒设备及各类档案装具设备。</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9）档案库房的电梯、楼道和库区周边等重要部位应具备视频监控、火灾报警、红外线防范系统等安全防护设施。视频监控布置合理，无监控盲区和死角，对档案库房实行24小时录像监控，视频录像保存不少于90天。</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10）档案服务商应具备科学的防尘、防有害生物、防有害气体等措施，维护档案载体的安全稳定，需要配备先进的微生物及霉变杀灭系统及空气净化系统，漏水检测系统。无需人员管理。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11）档案服务商应具备科学的管理制度，对空调、去湿、灭火、防盗等各类档案安全防护设备加强日常检查、维护等管理，及时排除各种故障，确保设备正常运行。</w:t>
            </w:r>
          </w:p>
          <w:p>
            <w:pPr>
              <w:pStyle w:val="null3"/>
              <w:jc w:val="both"/>
            </w:pP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验收与评价：</w:t>
            </w:r>
          </w:p>
          <w:p>
            <w:pPr>
              <w:pStyle w:val="null3"/>
              <w:jc w:val="both"/>
            </w:pPr>
            <w:r>
              <w:rPr>
                <w:rFonts w:ascii="仿宋_GB2312" w:hAnsi="仿宋_GB2312" w:cs="仿宋_GB2312" w:eastAsia="仿宋_GB2312"/>
                <w:sz w:val="20"/>
              </w:rPr>
              <w:t>（一）本项目验收费用，由乙方自行承担。</w:t>
            </w:r>
          </w:p>
          <w:p>
            <w:pPr>
              <w:pStyle w:val="null3"/>
              <w:jc w:val="both"/>
            </w:pPr>
            <w:r>
              <w:rPr>
                <w:rFonts w:ascii="仿宋_GB2312" w:hAnsi="仿宋_GB2312" w:cs="仿宋_GB2312" w:eastAsia="仿宋_GB2312"/>
                <w:sz w:val="20"/>
              </w:rPr>
              <w:t>（二）服务期满后，由乙方向甲方递交验收通知书，经甲方确认后，组织乙方进行系统验收（必要时采购人可委托具有相关资质的第三方检测机构</w:t>
            </w:r>
            <w:r>
              <w:rPr>
                <w:rFonts w:ascii="仿宋_GB2312" w:hAnsi="仿宋_GB2312" w:cs="仿宋_GB2312" w:eastAsia="仿宋_GB2312"/>
                <w:sz w:val="20"/>
              </w:rPr>
              <w:t>/技术专家对本次服务进行系统验收，需要国家法定检验部门进行检验或验收的由乙方负责联系）。验收合格后，填写政府采购项目验收单作为对本次服务的最终认可。</w:t>
            </w:r>
          </w:p>
          <w:p>
            <w:pPr>
              <w:pStyle w:val="null3"/>
              <w:jc w:val="both"/>
            </w:pPr>
            <w:r>
              <w:rPr>
                <w:rFonts w:ascii="仿宋_GB2312" w:hAnsi="仿宋_GB2312" w:cs="仿宋_GB2312" w:eastAsia="仿宋_GB2312"/>
                <w:sz w:val="20"/>
              </w:rPr>
              <w:t>（三）验收依据：</w:t>
            </w:r>
          </w:p>
          <w:p>
            <w:pPr>
              <w:pStyle w:val="null3"/>
              <w:jc w:val="both"/>
            </w:pPr>
            <w:r>
              <w:rPr>
                <w:rFonts w:ascii="仿宋_GB2312" w:hAnsi="仿宋_GB2312" w:cs="仿宋_GB2312" w:eastAsia="仿宋_GB2312"/>
                <w:sz w:val="20"/>
              </w:rPr>
              <w:t>1、本合同及附加文本；</w:t>
            </w:r>
          </w:p>
          <w:p>
            <w:pPr>
              <w:pStyle w:val="null3"/>
              <w:jc w:val="both"/>
            </w:pPr>
            <w:r>
              <w:rPr>
                <w:rFonts w:ascii="仿宋_GB2312" w:hAnsi="仿宋_GB2312" w:cs="仿宋_GB2312" w:eastAsia="仿宋_GB2312"/>
                <w:sz w:val="20"/>
              </w:rPr>
              <w:t>2、招标文件、成交供应商的投标文件及澄清（承诺）函；</w:t>
            </w:r>
          </w:p>
          <w:p>
            <w:pPr>
              <w:pStyle w:val="null3"/>
              <w:jc w:val="both"/>
            </w:pPr>
            <w:r>
              <w:rPr>
                <w:rFonts w:ascii="仿宋_GB2312" w:hAnsi="仿宋_GB2312" w:cs="仿宋_GB2312" w:eastAsia="仿宋_GB2312"/>
                <w:sz w:val="20"/>
              </w:rPr>
              <w:t>3、国家相应的标准、规范。</w:t>
            </w:r>
          </w:p>
          <w:p>
            <w:pPr>
              <w:pStyle w:val="null3"/>
              <w:jc w:val="both"/>
            </w:pP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sz w:val="21"/>
              </w:rPr>
              <w:t>项目其他要求：</w:t>
            </w:r>
          </w:p>
          <w:p>
            <w:pPr>
              <w:pStyle w:val="null3"/>
              <w:jc w:val="both"/>
            </w:pPr>
            <w:r>
              <w:rPr>
                <w:rFonts w:ascii="仿宋_GB2312" w:hAnsi="仿宋_GB2312" w:cs="仿宋_GB2312" w:eastAsia="仿宋_GB2312"/>
                <w:sz w:val="20"/>
              </w:rPr>
              <w:t>保密要求</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1）中标单位工作人员需签订保密协议，在工作期间必须遵守《档案法》、《保密法》以及档案所属行业要求，确保纸质档案和信息不泄露；</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2）中标人在项目完成后承担保密义务的期限为无限期保密；</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3）工作人员不得以任何形式将各项档案资料带出指定工作现场，不得以任何形式进行泄漏、传播；不得无故查看及讨论档案内容；</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4）工作人员不得携带与本工作无关的存储介质进入工作场地；</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5）中标人应对本项目所用到的网络、计算机以及相关文档做好严密的保密措施；</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6）未经用户方同意，中标人不得以任何理由打开档案箱锁扣。</w:t>
            </w:r>
          </w:p>
          <w:p>
            <w:pPr>
              <w:pStyle w:val="null3"/>
              <w:jc w:val="both"/>
            </w:pPr>
            <w:r>
              <w:rPr>
                <w:rFonts w:ascii="仿宋_GB2312" w:hAnsi="仿宋_GB2312" w:cs="仿宋_GB2312" w:eastAsia="仿宋_GB2312"/>
                <w:sz w:val="20"/>
              </w:rPr>
              <w:t>安全保密要求：</w:t>
            </w:r>
          </w:p>
          <w:p>
            <w:pPr>
              <w:pStyle w:val="null3"/>
              <w:jc w:val="both"/>
            </w:pPr>
            <w:r>
              <w:rPr>
                <w:rFonts w:ascii="仿宋_GB2312" w:hAnsi="仿宋_GB2312" w:cs="仿宋_GB2312" w:eastAsia="仿宋_GB2312"/>
                <w:sz w:val="20"/>
              </w:rPr>
              <w:t>严格遵守相关保密安全规定，本项目必须在采购人指定的场所内进行，确保场所正常秩序和安全。不得遗失、损坏档案，如有违法者，将追究法律责任。档案整理加工单位应做到：</w:t>
            </w:r>
          </w:p>
          <w:p>
            <w:pPr>
              <w:pStyle w:val="null3"/>
              <w:jc w:val="both"/>
            </w:pPr>
            <w:r>
              <w:rPr>
                <w:rFonts w:ascii="仿宋_GB2312" w:hAnsi="仿宋_GB2312" w:cs="仿宋_GB2312" w:eastAsia="仿宋_GB2312"/>
                <w:sz w:val="20"/>
              </w:rPr>
              <w:t>1、与工作人员签订保密协议，加强对工作人员的保密教育。成交供应商负责对其聘用的工作人员进行身份审查、登记备案和签订保密协议，并将相关材料提交采购人备案。</w:t>
            </w:r>
          </w:p>
          <w:p>
            <w:pPr>
              <w:pStyle w:val="null3"/>
              <w:jc w:val="both"/>
            </w:pPr>
            <w:r>
              <w:rPr>
                <w:rFonts w:ascii="仿宋_GB2312" w:hAnsi="仿宋_GB2312" w:cs="仿宋_GB2312" w:eastAsia="仿宋_GB2312"/>
                <w:sz w:val="20"/>
              </w:rPr>
              <w:t>2、资料所有权归采购人所有，各种统计资料、纸质资料及各种清单等在项目结束时都必须完整移交。</w:t>
            </w:r>
          </w:p>
          <w:p>
            <w:pPr>
              <w:pStyle w:val="null3"/>
              <w:jc w:val="both"/>
            </w:pPr>
            <w:r>
              <w:rPr>
                <w:rFonts w:ascii="仿宋_GB2312" w:hAnsi="仿宋_GB2312" w:cs="仿宋_GB2312" w:eastAsia="仿宋_GB2312"/>
                <w:sz w:val="20"/>
              </w:rPr>
              <w:t>3、工作人员不得以任何形式将各项档案资料带出指定工作现场，不得以任何形式进行泄漏、传播；不得以任何方式非法向外人泄露档案所涉及的国家秘密；不得无故查看及讨论档案内容。否则按国家有关规定处理，情节严重的要承担相应的刑事责任。</w:t>
            </w:r>
          </w:p>
          <w:p>
            <w:pPr>
              <w:pStyle w:val="null3"/>
              <w:jc w:val="both"/>
            </w:pPr>
            <w:r>
              <w:rPr>
                <w:rFonts w:ascii="仿宋_GB2312" w:hAnsi="仿宋_GB2312" w:cs="仿宋_GB2312" w:eastAsia="仿宋_GB2312"/>
                <w:sz w:val="20"/>
              </w:rPr>
              <w:t>4、工作人员未经同意，不得私自携带任何可存储设备进入或离开工作现场。未经采购人批准，成交供应商不得以任何形式复制离线的档案图像和档案目录数据。</w:t>
            </w:r>
          </w:p>
          <w:p>
            <w:pPr>
              <w:pStyle w:val="null3"/>
              <w:jc w:val="both"/>
            </w:pPr>
            <w:r>
              <w:rPr>
                <w:rFonts w:ascii="仿宋_GB2312" w:hAnsi="仿宋_GB2312" w:cs="仿宋_GB2312" w:eastAsia="仿宋_GB2312"/>
                <w:sz w:val="20"/>
              </w:rPr>
              <w:t>5、加工完成，移交并验收合格后，成交供应商应在档案管理部门有关人员监督下，销毁所有存储介质的档案数据，并交由采购人保管。</w:t>
            </w:r>
          </w:p>
          <w:p>
            <w:pPr>
              <w:pStyle w:val="null3"/>
              <w:jc w:val="both"/>
            </w:pP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rPr>
              <w:t>供应商权利和义务：</w:t>
            </w:r>
          </w:p>
          <w:p>
            <w:pPr>
              <w:pStyle w:val="null3"/>
              <w:jc w:val="both"/>
            </w:pPr>
            <w:r>
              <w:rPr>
                <w:rFonts w:ascii="仿宋_GB2312" w:hAnsi="仿宋_GB2312" w:cs="仿宋_GB2312" w:eastAsia="仿宋_GB2312"/>
                <w:sz w:val="20"/>
              </w:rPr>
              <w:t>1、乙方应提供满足国家规定的档案管理要求的库房，包括空调、配电、电梯等配套设施，依法配备符合国家规定的安全消防设备及其他安防措施，并由专人对库房进行防盗、防火、防漏、防水、防虫、防鼠、防尘、防光、防潮、防腐、防高温等进行定期检查并保存检查记录。</w:t>
            </w:r>
          </w:p>
          <w:p>
            <w:pPr>
              <w:pStyle w:val="null3"/>
              <w:jc w:val="both"/>
            </w:pPr>
            <w:r>
              <w:rPr>
                <w:rFonts w:ascii="仿宋_GB2312" w:hAnsi="仿宋_GB2312" w:cs="仿宋_GB2312" w:eastAsia="仿宋_GB2312"/>
                <w:sz w:val="20"/>
              </w:rPr>
              <w:t>2、乙方在档案保管、运输过程中因人为因素造成甲方档案丢失、受损等情况，乙方须承担赔偿责任。甲方有权从未付款项中扣除赔偿金额，赔偿金额包括甲方由此遭受的全部直接损失和间接损失。</w:t>
            </w:r>
          </w:p>
          <w:p>
            <w:pPr>
              <w:pStyle w:val="null3"/>
              <w:jc w:val="both"/>
            </w:pPr>
            <w:r>
              <w:rPr>
                <w:rFonts w:ascii="仿宋_GB2312" w:hAnsi="仿宋_GB2312" w:cs="仿宋_GB2312" w:eastAsia="仿宋_GB2312"/>
                <w:sz w:val="20"/>
              </w:rPr>
              <w:t>3、乙方应对甲方开展的方案库房检查工作进行积极配合。</w:t>
            </w:r>
          </w:p>
          <w:p>
            <w:pPr>
              <w:pStyle w:val="null3"/>
              <w:jc w:val="both"/>
            </w:pPr>
            <w:r>
              <w:rPr>
                <w:rFonts w:ascii="仿宋_GB2312" w:hAnsi="仿宋_GB2312" w:cs="仿宋_GB2312" w:eastAsia="仿宋_GB2312"/>
                <w:sz w:val="20"/>
              </w:rPr>
              <w:t>4、对甲方托管的档案履行保密义务，并与甲方签订保密协议书。</w:t>
            </w:r>
          </w:p>
          <w:p>
            <w:pPr>
              <w:pStyle w:val="null3"/>
              <w:jc w:val="both"/>
            </w:pPr>
            <w:r>
              <w:rPr>
                <w:rFonts w:ascii="仿宋_GB2312" w:hAnsi="仿宋_GB2312" w:cs="仿宋_GB2312" w:eastAsia="仿宋_GB2312"/>
                <w:sz w:val="20"/>
              </w:rPr>
              <w:t>5、如乙方发生任何违反中华人民共和国的法律法规的事项，或发生违反中华人民共和国档案管理法规的事项，或违反档案管理行业通行规则的事项等，则甲方均有权单方面解除合同。甲方解除合同的，乙方向甲方支付合同价款10%作为违约金。</w:t>
            </w:r>
          </w:p>
          <w:p>
            <w:pPr>
              <w:pStyle w:val="null3"/>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满足项目所需人员要求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满足项目所需设施设备要求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1.符合竞争性磋商文件规定 2.最高限价：总预算：605,000.00元 ，据实结算，最终结算不得超过采购预算。其中单项报价最高限价为60元/箱，供应商单项报价高于单项报价最高限价的，其响应文件将按无效处理。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合同签订生效日期起一年或总预算金额执行完为止。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合同签订后采购人按寄存量一次性向供应商支付总价款，总价款不超过合同总金额</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以合同约定为准</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保障政府采购电子化交易平台项目实施，供应商需要在线提交所有通过电子化交易平台实施的政府采购项目的响应文件，同时，中标单位在中标后应无偿线下递交响应文件正本壹套、副本贰套、电子版U盘贰套(U盘贰套标明供应商名称，单独密封）。若电子响应文件与纸质响应文件不一致的，以电子响应文件为准，若正本和副本不符，以正本为准。线上递交文件时间：详见本项目磋商公告响应文件递交截止时间：线下递交文件时间地点:具体递交时间以代理机构通知为准，地址：西安市经济技术开发区赛高国际D座6层603室。 2、如磋商文件中融资相关内容与新政策要求有出入，按照最新要求执行。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资格审查部分.docx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2022年度或2023年度或2024年度经审计的财务报告（成立时间至提交磋商响应文件截止时间不足一年的可提供成立任意时段的资产负债表），或2025年1月1日后由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资格审查部分.docx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 资格审查部分.docx</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具备独立承担民事责任的能力，具有法人、事业法人、其它组织或自然人的营业执照等证明文件</w:t>
            </w:r>
          </w:p>
        </w:tc>
        <w:tc>
          <w:tcPr>
            <w:tcW w:type="dxa" w:w="3322"/>
          </w:tcPr>
          <w:p>
            <w:pPr>
              <w:pStyle w:val="null3"/>
            </w:pPr>
            <w:r>
              <w:rPr>
                <w:rFonts w:ascii="仿宋_GB2312" w:hAnsi="仿宋_GB2312" w:cs="仿宋_GB2312" w:eastAsia="仿宋_GB2312"/>
              </w:rPr>
              <w:t>具备独立承担民事责任的能力，具有法人、事业法人、其它组织或自然人的营业执照等证明文件，合法有效</w:t>
            </w:r>
          </w:p>
        </w:tc>
        <w:tc>
          <w:tcPr>
            <w:tcW w:type="dxa" w:w="1661"/>
          </w:tcPr>
          <w:p>
            <w:pPr>
              <w:pStyle w:val="null3"/>
            </w:pPr>
            <w:r>
              <w:rPr>
                <w:rFonts w:ascii="仿宋_GB2312" w:hAnsi="仿宋_GB2312" w:cs="仿宋_GB2312" w:eastAsia="仿宋_GB2312"/>
              </w:rPr>
              <w:t>资格审查部分.docx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法定代表人授权书及被授权人身份证复印件加盖公章；(法定代表人直接参加投标，只须提交其身份证及其复印件)</w:t>
            </w:r>
          </w:p>
        </w:tc>
        <w:tc>
          <w:tcPr>
            <w:tcW w:type="dxa" w:w="3322"/>
          </w:tcPr>
          <w:p>
            <w:pPr>
              <w:pStyle w:val="null3"/>
            </w:pPr>
            <w:r>
              <w:rPr>
                <w:rFonts w:ascii="仿宋_GB2312" w:hAnsi="仿宋_GB2312" w:cs="仿宋_GB2312" w:eastAsia="仿宋_GB2312"/>
              </w:rPr>
              <w:t>法定代表人授权书及被授权人身份证复印件加盖公章；(法定代表人直接参加投标，只须提交其身份证及其复印件)，合法有效</w:t>
            </w:r>
          </w:p>
        </w:tc>
        <w:tc>
          <w:tcPr>
            <w:tcW w:type="dxa" w:w="1661"/>
          </w:tcPr>
          <w:p>
            <w:pPr>
              <w:pStyle w:val="null3"/>
            </w:pPr>
            <w:r>
              <w:rPr>
                <w:rFonts w:ascii="仿宋_GB2312" w:hAnsi="仿宋_GB2312" w:cs="仿宋_GB2312" w:eastAsia="仿宋_GB2312"/>
              </w:rPr>
              <w:t>资格审查部分.docx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提供具有履行合同所必需的设备和专业技术能力的承诺</w:t>
            </w:r>
          </w:p>
        </w:tc>
        <w:tc>
          <w:tcPr>
            <w:tcW w:type="dxa" w:w="3322"/>
          </w:tcPr>
          <w:p>
            <w:pPr>
              <w:pStyle w:val="null3"/>
            </w:pPr>
            <w:r>
              <w:rPr>
                <w:rFonts w:ascii="仿宋_GB2312" w:hAnsi="仿宋_GB2312" w:cs="仿宋_GB2312" w:eastAsia="仿宋_GB2312"/>
              </w:rPr>
              <w:t>提供具有履行合同所必需的设备和专业技术能力的承诺，提供承诺函，真实有效</w:t>
            </w:r>
          </w:p>
        </w:tc>
        <w:tc>
          <w:tcPr>
            <w:tcW w:type="dxa" w:w="1661"/>
          </w:tcPr>
          <w:p>
            <w:pPr>
              <w:pStyle w:val="null3"/>
            </w:pPr>
            <w:r>
              <w:rPr>
                <w:rFonts w:ascii="仿宋_GB2312" w:hAnsi="仿宋_GB2312" w:cs="仿宋_GB2312" w:eastAsia="仿宋_GB2312"/>
              </w:rPr>
              <w:t>资格审查部分.docx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提供2024年9月1日起至开标时间前已缴纳的至少一个月的纳税证明或完税证明（税种应包含营业税或增值税或企业所得税），其中纳税证明或完税证明上应有代收机构或税务机关的公章或业务专用章，其他组织和自然人提供自2024年9月1日起至开标时间前至少一个月缴纳税收的凭据，依法免税的单位应提供相关证明材料</w:t>
            </w:r>
          </w:p>
        </w:tc>
        <w:tc>
          <w:tcPr>
            <w:tcW w:type="dxa" w:w="3322"/>
          </w:tcPr>
          <w:p>
            <w:pPr>
              <w:pStyle w:val="null3"/>
            </w:pPr>
            <w:r>
              <w:rPr>
                <w:rFonts w:ascii="仿宋_GB2312" w:hAnsi="仿宋_GB2312" w:cs="仿宋_GB2312" w:eastAsia="仿宋_GB2312"/>
              </w:rPr>
              <w:t>提供2024年9月1日起至开标时间前已缴纳的至少一个月的纳税证明或完税证明（税种应包含营业税或增值税或企业所得税），其中纳税证明或完税证明上应有代收机构或税务机关的公章或业务专用章，其他组织和自然人提供自2024年9月1日起至开标时间前至少一个月缴纳税收的凭据，依法免税的单位应提供相关证明材料，真实有效</w:t>
            </w:r>
          </w:p>
        </w:tc>
        <w:tc>
          <w:tcPr>
            <w:tcW w:type="dxa" w:w="1661"/>
          </w:tcPr>
          <w:p>
            <w:pPr>
              <w:pStyle w:val="null3"/>
            </w:pPr>
            <w:r>
              <w:rPr>
                <w:rFonts w:ascii="仿宋_GB2312" w:hAnsi="仿宋_GB2312" w:cs="仿宋_GB2312" w:eastAsia="仿宋_GB2312"/>
              </w:rPr>
              <w:t>资格审查部分.docx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提供2024年9月1日起至开标时间前已缴存的至少一个月的社会保障资金缴存单据或社保机构开具的社会保险参保缴费情况证明，依法不需要缴纳社会保障资金的单位应提供相关证明材料</w:t>
            </w:r>
          </w:p>
        </w:tc>
        <w:tc>
          <w:tcPr>
            <w:tcW w:type="dxa" w:w="3322"/>
          </w:tcPr>
          <w:p>
            <w:pPr>
              <w:pStyle w:val="null3"/>
            </w:pPr>
            <w:r>
              <w:rPr>
                <w:rFonts w:ascii="仿宋_GB2312" w:hAnsi="仿宋_GB2312" w:cs="仿宋_GB2312" w:eastAsia="仿宋_GB2312"/>
              </w:rPr>
              <w:t>提供2024年9月1日起至开标时间前已缴存的至少一个月的社会保障资金缴存单据或社保机构开具的社会保险参保缴费情况证明，依法不需要缴纳社会保障资金的单位应提供相关证明材料，真实有效</w:t>
            </w:r>
          </w:p>
        </w:tc>
        <w:tc>
          <w:tcPr>
            <w:tcW w:type="dxa" w:w="1661"/>
          </w:tcPr>
          <w:p>
            <w:pPr>
              <w:pStyle w:val="null3"/>
            </w:pPr>
            <w:r>
              <w:rPr>
                <w:rFonts w:ascii="仿宋_GB2312" w:hAnsi="仿宋_GB2312" w:cs="仿宋_GB2312" w:eastAsia="仿宋_GB2312"/>
              </w:rPr>
              <w:t>资格审查部分.docx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参加政府采购活动前3年内，在经营活动中没有重大违法记录的书面声明（格式自拟）</w:t>
            </w:r>
          </w:p>
        </w:tc>
        <w:tc>
          <w:tcPr>
            <w:tcW w:type="dxa" w:w="3322"/>
          </w:tcPr>
          <w:p>
            <w:pPr>
              <w:pStyle w:val="null3"/>
            </w:pPr>
            <w:r>
              <w:rPr>
                <w:rFonts w:ascii="仿宋_GB2312" w:hAnsi="仿宋_GB2312" w:cs="仿宋_GB2312" w:eastAsia="仿宋_GB2312"/>
              </w:rPr>
              <w:t>参加政府采购活动前3年内，在经营活动中没有重大违法记录的书面声明（格式自拟），提供声明函，真实有效</w:t>
            </w:r>
          </w:p>
        </w:tc>
        <w:tc>
          <w:tcPr>
            <w:tcW w:type="dxa" w:w="1661"/>
          </w:tcPr>
          <w:p>
            <w:pPr>
              <w:pStyle w:val="null3"/>
            </w:pPr>
            <w:r>
              <w:rPr>
                <w:rFonts w:ascii="仿宋_GB2312" w:hAnsi="仿宋_GB2312" w:cs="仿宋_GB2312" w:eastAsia="仿宋_GB2312"/>
              </w:rPr>
              <w:t>承诺书.docx 资格审查部分.docx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不得为“中国执行信息公开网”网站（http://zxgk.court.gov.cn/）中列入失信被执行人，不得为“信用中国”网站（www.creditchina.gov.cn）中列入重大税收违法失信主体的供应商，不得为中国政府采购网（www.ccgp.gov.cn）政府采购严重违法失信行为记录名单中被财政部门禁止参加政府采购活动的供应商</w:t>
            </w:r>
          </w:p>
        </w:tc>
        <w:tc>
          <w:tcPr>
            <w:tcW w:type="dxa" w:w="3322"/>
          </w:tcPr>
          <w:p>
            <w:pPr>
              <w:pStyle w:val="null3"/>
            </w:pPr>
            <w:r>
              <w:rPr>
                <w:rFonts w:ascii="仿宋_GB2312" w:hAnsi="仿宋_GB2312" w:cs="仿宋_GB2312" w:eastAsia="仿宋_GB2312"/>
              </w:rPr>
              <w:t>供应商不得为“中国执行信息公开网”网站（http://zxgk.court.gov.cn/）中列入失信被执行人，不得为“信用中国”网站（www.creditchina.gov.cn）中列入重大税收违法失信主体的供应商，不得为中国政府采购网（www.ccgp.gov.cn）政府采购严重违法失信行为记录名单中被财政部门禁止参加政府采购活动的供应商，（开标现场由代理机构代为查询），真实有效</w:t>
            </w:r>
          </w:p>
        </w:tc>
        <w:tc>
          <w:tcPr>
            <w:tcW w:type="dxa" w:w="1661"/>
          </w:tcPr>
          <w:p>
            <w:pPr>
              <w:pStyle w:val="null3"/>
            </w:pPr>
            <w:r>
              <w:rPr>
                <w:rFonts w:ascii="仿宋_GB2312" w:hAnsi="仿宋_GB2312" w:cs="仿宋_GB2312" w:eastAsia="仿宋_GB2312"/>
              </w:rPr>
              <w:t>资格审查部分.docx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本项目专门面向中小企业采购；须符合《政府采购促进中小企业发展管理办法》（财库〔2020〕46号）规定的中小企业参加；(提供《中小企业声明函》）</w:t>
            </w:r>
          </w:p>
        </w:tc>
        <w:tc>
          <w:tcPr>
            <w:tcW w:type="dxa" w:w="3322"/>
          </w:tcPr>
          <w:p>
            <w:pPr>
              <w:pStyle w:val="null3"/>
            </w:pPr>
            <w:r>
              <w:rPr>
                <w:rFonts w:ascii="仿宋_GB2312" w:hAnsi="仿宋_GB2312" w:cs="仿宋_GB2312" w:eastAsia="仿宋_GB2312"/>
              </w:rPr>
              <w:t>本项目专门面向中小企业采购；须符合《政府采购促进中小企业发展管理办法》（财库〔2020〕46号）规定的中小企业参加；(提供《中小企业声明函》），(提供《中小企业声明函》），真实有效</w:t>
            </w:r>
          </w:p>
        </w:tc>
        <w:tc>
          <w:tcPr>
            <w:tcW w:type="dxa" w:w="1661"/>
          </w:tcPr>
          <w:p>
            <w:pPr>
              <w:pStyle w:val="null3"/>
            </w:pPr>
            <w:r>
              <w:rPr>
                <w:rFonts w:ascii="仿宋_GB2312" w:hAnsi="仿宋_GB2312" w:cs="仿宋_GB2312" w:eastAsia="仿宋_GB2312"/>
              </w:rPr>
              <w:t>资格审查部分.docx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本次项目不接受联合体投标</w:t>
            </w:r>
          </w:p>
        </w:tc>
        <w:tc>
          <w:tcPr>
            <w:tcW w:type="dxa" w:w="3322"/>
          </w:tcPr>
          <w:p>
            <w:pPr>
              <w:pStyle w:val="null3"/>
            </w:pPr>
            <w:r>
              <w:rPr>
                <w:rFonts w:ascii="仿宋_GB2312" w:hAnsi="仿宋_GB2312" w:cs="仿宋_GB2312" w:eastAsia="仿宋_GB2312"/>
              </w:rPr>
              <w:t>本次项目不接受联合体投标，提供承诺函，真实有效</w:t>
            </w:r>
          </w:p>
        </w:tc>
        <w:tc>
          <w:tcPr>
            <w:tcW w:type="dxa" w:w="1661"/>
          </w:tcPr>
          <w:p>
            <w:pPr>
              <w:pStyle w:val="null3"/>
            </w:pPr>
            <w:r>
              <w:rPr>
                <w:rFonts w:ascii="仿宋_GB2312" w:hAnsi="仿宋_GB2312" w:cs="仿宋_GB2312" w:eastAsia="仿宋_GB2312"/>
              </w:rPr>
              <w:t>资格审查部分.docx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至少以下三处的项目名称、项目编号与本项目完全一致：(1) 响应文件封面 (2) 响应函 (3) 法定代表人 (主要负责人) 授权委托书\身份证明；</w:t>
            </w:r>
          </w:p>
        </w:tc>
        <w:tc>
          <w:tcPr>
            <w:tcW w:type="dxa" w:w="1661"/>
          </w:tcPr>
          <w:p>
            <w:pPr>
              <w:pStyle w:val="null3"/>
            </w:pPr>
            <w:r>
              <w:rPr>
                <w:rFonts w:ascii="仿宋_GB2312" w:hAnsi="仿宋_GB2312" w:cs="仿宋_GB2312" w:eastAsia="仿宋_GB2312"/>
              </w:rPr>
              <w:t>响应文件封面 服务内容及服务邀请应答表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响应文件格式、签章、语言、计量单位、报价货币</w:t>
            </w:r>
          </w:p>
        </w:tc>
        <w:tc>
          <w:tcPr>
            <w:tcW w:type="dxa" w:w="3322"/>
          </w:tcPr>
          <w:p>
            <w:pPr>
              <w:pStyle w:val="null3"/>
            </w:pPr>
            <w:r>
              <w:rPr>
                <w:rFonts w:ascii="仿宋_GB2312" w:hAnsi="仿宋_GB2312" w:cs="仿宋_GB2312" w:eastAsia="仿宋_GB2312"/>
              </w:rPr>
              <w:t>应符合“响应文件格式”要求</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同时满足以下条款： (1) 货币单位符合竞争性磋商文件要求； (2) 报价符合唯一性要求 ； (3) 未超出采购预算（最高限价）； (4) 符合《报价表》的填报要求</w:t>
            </w:r>
          </w:p>
        </w:tc>
        <w:tc>
          <w:tcPr>
            <w:tcW w:type="dxa" w:w="1661"/>
          </w:tcPr>
          <w:p>
            <w:pPr>
              <w:pStyle w:val="null3"/>
            </w:pPr>
            <w:r>
              <w:rPr>
                <w:rFonts w:ascii="仿宋_GB2312" w:hAnsi="仿宋_GB2312" w:cs="仿宋_GB2312" w:eastAsia="仿宋_GB2312"/>
              </w:rPr>
              <w:t>商务应答表 标的清单 磋商报价表.docx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响应文件内容齐全、无遗漏</w:t>
            </w:r>
          </w:p>
        </w:tc>
        <w:tc>
          <w:tcPr>
            <w:tcW w:type="dxa" w:w="1661"/>
          </w:tcPr>
          <w:p>
            <w:pPr>
              <w:pStyle w:val="null3"/>
            </w:pPr>
            <w:r>
              <w:rPr>
                <w:rFonts w:ascii="仿宋_GB2312" w:hAnsi="仿宋_GB2312" w:cs="仿宋_GB2312" w:eastAsia="仿宋_GB2312"/>
              </w:rPr>
              <w:t>服务内容及服务邀请应答表 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完全响应竞争性磋商文件要求的合同条款。</w:t>
            </w:r>
          </w:p>
        </w:tc>
        <w:tc>
          <w:tcPr>
            <w:tcW w:type="dxa" w:w="1661"/>
          </w:tcPr>
          <w:p>
            <w:pPr>
              <w:pStyle w:val="null3"/>
            </w:pPr>
            <w:r>
              <w:rPr>
                <w:rFonts w:ascii="仿宋_GB2312" w:hAnsi="仿宋_GB2312" w:cs="仿宋_GB2312" w:eastAsia="仿宋_GB2312"/>
              </w:rPr>
              <w:t>合同条款偏离表.docx 商务及技术偏离表.docx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服务内容及服务邀请应答表 商务应答表 标的清单</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对项目理解全面，根据采购人的实际需求和项目具体内容并结合自身情况提供切实可行的服务方案。根据方案的内容、工作流程、服务能力、安全保障和时间进度情况等进行综合评定。 方案全面、提供的服务方案与本项目实际情况结合紧密易于实施的计[10-15]分； 方案较为合理、提供的服务方案与本项目实际情况结合较为紧密可以实施的计[5-10)分； 方案合需求理解较差、目标理解片面，不符合上述两种情形的计(0-5)分；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防护设施方案</w:t>
            </w:r>
          </w:p>
        </w:tc>
        <w:tc>
          <w:tcPr>
            <w:tcW w:type="dxa" w:w="2492"/>
          </w:tcPr>
          <w:p>
            <w:pPr>
              <w:pStyle w:val="null3"/>
            </w:pPr>
            <w:r>
              <w:rPr>
                <w:rFonts w:ascii="仿宋_GB2312" w:hAnsi="仿宋_GB2312" w:cs="仿宋_GB2312" w:eastAsia="仿宋_GB2312"/>
              </w:rPr>
              <w:t>1、（4分）防火：库房配备标准的消防灭火设施，灭火介质不能对档案产生二次损害，不能污染环境，档案保管外包服务库房安装火灾报警设施，同时满足以上条件得(2-4]分，部分满足得(0-2]分，提供相关证明材料。 2、（4分）防盗：库房的周边所有出入口，档案交接室、调阅室、存储区域等均应设有实时可视监控系统，档案存储区域的出入口和电梯应安装门禁系统和红外报警设备，完全具备以上条件得(2-4]分，部分满足得(0-2]分，提供相关证明材料。 3、（2分）温控：库房应配备温湿度自动或人工调节设施，完全具备以上条件得(1-2]分，部分满足得(0-1]分，提供相关证明材料。 4、（2分）防水：配置漏水等水患检测预警系统，完全具备以上条件得(1-2]分，部分满足得(0-1]分，提供相关证明材料。 5、（2分）防霉：档案库房整体气体智能净化、具备消毒设施、档案专用消毒室得2分，没有不得分，提供相关证明材料。 6、（2分）防虫：具有防虫、杀虫设备，灭杀效率90%以上，完全具备以上条件得(1-2]分，部分满足得(0-1]分，提供相关证明材料。 7、（1分）防鼠：保管设备具备防鼠装置得1分，没有不得分。 8、（1分）防光：保管设备防光得1分，没有不得分。 9、（1分）防尘：库区配备除尘设备得1分，没有不得分。 10、（1分）防有害气体：库区具有空气净化功能，配备自动空气净化设备，防止有害气体的留存得1分，没有不得分。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防护设施方案.docx</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供应商档案寄存管理服务内容，档案在保管、运输过程的保密承诺方案：方案合理可行，考虑充分的计 (5-10]分；方案合理，可行性欠缺的计 (3-5]分；方案不全，不便于操作的计(0-3]分，未提供不得分。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保密方案.docx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在配送、存储、清查等环节应急补救措施服务，具有明确的应急方案，方案合理可行，考虑充分的计(4-7]分；方案不全，不便于操作的计(0-4]分。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应急方案.docx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具有快速的售后服务响应及良好的问题解决能力。提供售后服务承诺书。(1)售后服务内容全面详细，，确保为本项目提供完善的售后服务方案计[6-8分]; (2)方案内容完整，能基本满足项目正常进行的计[3-6)分; (3)不符合上述情形的计[0-3)分。未提供不得分。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档案库房管理要求</w:t>
            </w:r>
          </w:p>
        </w:tc>
        <w:tc>
          <w:tcPr>
            <w:tcW w:type="dxa" w:w="2492"/>
          </w:tcPr>
          <w:p>
            <w:pPr>
              <w:pStyle w:val="null3"/>
            </w:pPr>
            <w:r>
              <w:rPr>
                <w:rFonts w:ascii="仿宋_GB2312" w:hAnsi="仿宋_GB2312" w:cs="仿宋_GB2312" w:eastAsia="仿宋_GB2312"/>
              </w:rPr>
              <w:t>针对本项目的档案库房符合国家规定的档案管理要求，按照档案管理规范采取防护设备和管理措施维护档案的完整安全性进行综合评审： 防护设备专业、齐全，管理措施科学、合理，可操作性强，计(10-15]分； 防护设备基本齐全，管理措施基本合理，可操作性较强，计(5-10]分； 防护设备不齐全，管理措施混乱，不具备可操作性，计(0-5]分； 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档案库房管理要求.docx</w:t>
            </w:r>
          </w:p>
        </w:tc>
      </w:tr>
      <w:tr>
        <w:tc>
          <w:tcPr>
            <w:tcW w:type="dxa" w:w="831"/>
            <w:vMerge/>
          </w:tcPr>
          <w:p/>
        </w:tc>
        <w:tc>
          <w:tcPr>
            <w:tcW w:type="dxa" w:w="1661"/>
          </w:tcPr>
          <w:p>
            <w:pPr>
              <w:pStyle w:val="null3"/>
            </w:pPr>
            <w:r>
              <w:rPr>
                <w:rFonts w:ascii="仿宋_GB2312" w:hAnsi="仿宋_GB2312" w:cs="仿宋_GB2312" w:eastAsia="仿宋_GB2312"/>
              </w:rPr>
              <w:t>项目人员配备</w:t>
            </w:r>
          </w:p>
        </w:tc>
        <w:tc>
          <w:tcPr>
            <w:tcW w:type="dxa" w:w="2492"/>
          </w:tcPr>
          <w:p>
            <w:pPr>
              <w:pStyle w:val="null3"/>
            </w:pPr>
            <w:r>
              <w:rPr>
                <w:rFonts w:ascii="仿宋_GB2312" w:hAnsi="仿宋_GB2312" w:cs="仿宋_GB2312" w:eastAsia="仿宋_GB2312"/>
              </w:rPr>
              <w:t>根据供应商提供的拟投入本项目人员，团队组织架构、工作分配，由评委进行综合评价。 ①人员配备充足，分工明确且合理，岗位职责清晰计[3-5]分；②人员配备较充足，分工明确较合理，岗位职责较清晰计[2-3)分；③人员配备不充足，分工不明确，岗位职责不清晰计（0-2）分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项目人员配备.docx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自 2022年1月1日起至投标截止日，每提供一份有效类似业绩合同得 2 分，最高得10分。(以提供的合同或中标（成交）通知书的复印件为准，时间以合同签订时间或中标（成交）通知书时间为准。)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满足磋商文件商务及技术要求且最后报价最低的供应商的单价为磋商基准价，其价格分为满分。 报价得分= (磋商基准价/最后磋商报价) *价格分值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详见附件：资格审查部分.docx</w:t>
      </w:r>
    </w:p>
    <w:p>
      <w:pPr>
        <w:pStyle w:val="null3"/>
        <w:ind w:firstLine="960"/>
      </w:pPr>
      <w:r>
        <w:rPr>
          <w:rFonts w:ascii="仿宋_GB2312" w:hAnsi="仿宋_GB2312" w:cs="仿宋_GB2312" w:eastAsia="仿宋_GB2312"/>
        </w:rPr>
        <w:t>详见附件：磋商报价表.docx</w:t>
      </w:r>
    </w:p>
    <w:p>
      <w:pPr>
        <w:pStyle w:val="null3"/>
        <w:ind w:firstLine="960"/>
      </w:pPr>
      <w:r>
        <w:rPr>
          <w:rFonts w:ascii="仿宋_GB2312" w:hAnsi="仿宋_GB2312" w:cs="仿宋_GB2312" w:eastAsia="仿宋_GB2312"/>
        </w:rPr>
        <w:t>详见附件：商务及技术偏离表.docx</w:t>
      </w:r>
    </w:p>
    <w:p>
      <w:pPr>
        <w:pStyle w:val="null3"/>
        <w:ind w:firstLine="960"/>
      </w:pPr>
      <w:r>
        <w:rPr>
          <w:rFonts w:ascii="仿宋_GB2312" w:hAnsi="仿宋_GB2312" w:cs="仿宋_GB2312" w:eastAsia="仿宋_GB2312"/>
        </w:rPr>
        <w:t>详见附件：类似项目业绩一览表.docx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详见附件：档案库房管理要求.docx</w:t>
      </w:r>
    </w:p>
    <w:p>
      <w:pPr>
        <w:pStyle w:val="null3"/>
        <w:ind w:firstLine="960"/>
      </w:pPr>
      <w:r>
        <w:rPr>
          <w:rFonts w:ascii="仿宋_GB2312" w:hAnsi="仿宋_GB2312" w:cs="仿宋_GB2312" w:eastAsia="仿宋_GB2312"/>
        </w:rPr>
        <w:t>详见附件：防护设施方案.docx</w:t>
      </w:r>
    </w:p>
    <w:p>
      <w:pPr>
        <w:pStyle w:val="null3"/>
        <w:ind w:firstLine="960"/>
      </w:pPr>
      <w:r>
        <w:rPr>
          <w:rFonts w:ascii="仿宋_GB2312" w:hAnsi="仿宋_GB2312" w:cs="仿宋_GB2312" w:eastAsia="仿宋_GB2312"/>
        </w:rPr>
        <w:t>详见附件：保密方案.docx</w:t>
      </w:r>
    </w:p>
    <w:p>
      <w:pPr>
        <w:pStyle w:val="null3"/>
        <w:ind w:firstLine="960"/>
      </w:pPr>
      <w:r>
        <w:rPr>
          <w:rFonts w:ascii="仿宋_GB2312" w:hAnsi="仿宋_GB2312" w:cs="仿宋_GB2312" w:eastAsia="仿宋_GB2312"/>
        </w:rPr>
        <w:t>详见附件：项目人员配备.docx</w:t>
      </w:r>
    </w:p>
    <w:p>
      <w:pPr>
        <w:pStyle w:val="null3"/>
        <w:ind w:firstLine="960"/>
      </w:pPr>
      <w:r>
        <w:rPr>
          <w:rFonts w:ascii="仿宋_GB2312" w:hAnsi="仿宋_GB2312" w:cs="仿宋_GB2312" w:eastAsia="仿宋_GB2312"/>
        </w:rPr>
        <w:t>详见附件：应急方案.docx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详见附件：合同条款偏离表.docx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详见附件：新城招标合同范本5.13(2).docx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