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版本号：ZHZB-2025-3020250528001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吕后陪葬墓彩绘陶器抢救性修复项目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ZHZB-2025-30</w:t>
      </w:r>
      <w:r>
        <w:br/>
      </w:r>
      <w:r>
        <w:br/>
      </w:r>
      <w:r>
        <w:br/>
      </w:r>
    </w:p>
    <w:p>
      <w:pPr>
        <w:pStyle w:val="null3"/>
        <w:jc w:val="center"/>
        <w:outlineLvl w:val="2"/>
      </w:pPr>
      <w:r>
        <w:rPr>
          <w:rFonts w:ascii="仿宋_GB2312" w:hAnsi="仿宋_GB2312" w:cs="仿宋_GB2312" w:eastAsia="仿宋_GB2312"/>
          <w:sz w:val="28"/>
          <w:b/>
        </w:rPr>
        <w:t>西安博物院</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西安博物院</w:t>
      </w:r>
      <w:r>
        <w:rPr>
          <w:rFonts w:ascii="仿宋_GB2312" w:hAnsi="仿宋_GB2312" w:cs="仿宋_GB2312" w:eastAsia="仿宋_GB2312"/>
        </w:rPr>
        <w:t>委托，拟对</w:t>
      </w:r>
      <w:r>
        <w:rPr>
          <w:rFonts w:ascii="仿宋_GB2312" w:hAnsi="仿宋_GB2312" w:cs="仿宋_GB2312" w:eastAsia="仿宋_GB2312"/>
        </w:rPr>
        <w:t>吕后陪葬墓彩绘陶器抢救性修复项目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吕后陪葬墓彩绘陶器抢救性修复项目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博物院将依据国家文物工作的“保护为主，抢救第一，合理利用，加强管理”方针及《中华人民共和国文物保护法》等相关法律法规，对市文物稽查队移交的吕后陪葬坑被盗扰的150袋彩绘陶器残件进行抢救性恢复保护。这些陶器残片主要为西汉早期的兵俑和马俑，具有重要的历史、艺术和科研价值。修复工作将包括初步清理、拼接比对、表面清理、补配修复、加固脆弱部位及处理彩绘层脱落等步骤，以恢复文物原貌、增强其环境耐受性并延长寿命。修复过程中将详细记录每一步骤，完善修复档案，确保文物在展厅和库房环境下的保存与展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5、无重大违纪书面声明：提供参加本次政府采购活动前三年内在经营活动中没有重大违法记录的书面声明。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8、联合体：本项目不接受联合体磋商。</w:t>
      </w:r>
    </w:p>
    <w:p>
      <w:pPr>
        <w:pStyle w:val="null3"/>
      </w:pPr>
      <w:r>
        <w:rPr>
          <w:rFonts w:ascii="仿宋_GB2312" w:hAnsi="仿宋_GB2312" w:cs="仿宋_GB2312" w:eastAsia="仿宋_GB2312"/>
        </w:rPr>
        <w:t>9、信誉要求：供应商未被列入“信用中国”网站记录的“失信被执行人”或“重大税收违法失信”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10、企业资质：供应商须具备省级文物行政部门颁发的《可移动文物修复资质证书》（业务范围包含陶器）。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西安博物院经办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029-87889170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张盼、王臻、王阿磊、成婷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招标代理服务收费有关问题的通知》（发改价格【2011】534号）服务类的规定标准收取。 2、代理服务费缴纳账户信息：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西安博物院</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联系人：张盼、王臻、王阿磊、成婷</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博物院将依据国家文物工作的“保护为主，抢救第一，合理利用，加强管理”方针及《中华人民共和国文物保护法》等相关法律法规，对市文物稽查队移交的吕后陪葬坑被盗扰的150袋彩绘陶器残件进行抢救性恢复保护。这些陶器残片主要为西汉早期的兵俑和马俑，具有重要的历史、艺术和科研价值。修复工作将包括初步清理、拼接比对、表面清理、补配修复、加固脆弱部位及处理彩绘层脱落等步骤，以恢复文物原貌、增强其环境耐受性并延长寿命。修复过程中将详细记录每一步骤，完善修复档案，确保文物在展厅和库房环境下的保存与展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790,000.00</w:t>
      </w:r>
    </w:p>
    <w:p>
      <w:pPr>
        <w:pStyle w:val="null3"/>
      </w:pPr>
      <w:r>
        <w:rPr>
          <w:rFonts w:ascii="仿宋_GB2312" w:hAnsi="仿宋_GB2312" w:cs="仿宋_GB2312" w:eastAsia="仿宋_GB2312"/>
        </w:rPr>
        <w:t>采购包最高限价（元）: 761,572.00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吕后陪葬墓彩绘陶器抢救性修复项目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标的名称：吕后陪葬墓彩绘陶器抢救性修复项目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shd w:fill="FFFFFF" w:val="clear"/>
              </w:rPr>
              <w:t>一、项目概况</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吕后陪葬墓属于西汉早期文物，具备鲜明的时代及地方特色，能反映出当时的生活景象和风俗习惯，具有一定的历史、艺术和科研价值。根据国家关于文物工作“保护为主，抢救第一，合理利用，加强管理”的十六字方针和《中华人民共和国文物保护法》、《博物馆藏品管理办法》等有关文物法律法规的精神，现需对吕后陪葬坑被盗扰的彩绘陶器残件进行抢救性恢复保护。本项目拟保护修复的陶器文物状态以残片为主，总计150袋，其内包含各式兵俑、马俑，几无完整，均为吕后陵园出土。</w:t>
            </w:r>
          </w:p>
          <w:p>
            <w:pPr>
              <w:pStyle w:val="null3"/>
              <w:ind w:firstLine="384"/>
              <w:jc w:val="both"/>
            </w:pPr>
            <w:r>
              <w:rPr>
                <w:rFonts w:ascii="仿宋_GB2312" w:hAnsi="仿宋_GB2312" w:cs="仿宋_GB2312" w:eastAsia="仿宋_GB2312"/>
                <w:sz w:val="21"/>
              </w:rPr>
              <w:t>（</w:t>
            </w:r>
            <w:r>
              <w:rPr>
                <w:rFonts w:ascii="仿宋_GB2312" w:hAnsi="仿宋_GB2312" w:cs="仿宋_GB2312" w:eastAsia="仿宋_GB2312"/>
                <w:sz w:val="21"/>
              </w:rPr>
              <w:t>2）由于该批彩绘陶器缺乏完整的出土资料，因此进行初步清理后，分批进行拼接比对粘接；待其基本结构呈现且碎片比对完成后再进一步</w:t>
            </w:r>
            <w:r>
              <w:rPr>
                <w:rFonts w:ascii="仿宋_GB2312" w:hAnsi="仿宋_GB2312" w:cs="仿宋_GB2312" w:eastAsia="仿宋_GB2312"/>
                <w:sz w:val="21"/>
                <w:color w:val="000000"/>
              </w:rPr>
              <w:t>进行表面清理工作，恢复文物基本面貌；对残缺等病害进行补配和修复，加固脆弱的连接处，提高其力学强度，延长文物寿命；并对文物表面即将脱落的彩绘层进行进一步的处理，从而进一步增强文物的环境耐受性，满足展厅和库房环境条件下的存放展出。由于该批文物残片数量较多，因此在记录文物档案时可以最终修复成果为基准，着重记录每一项步骤从而反向完善修复档案。</w:t>
            </w:r>
            <w:r>
              <w:rPr>
                <w:rFonts w:ascii="仿宋_GB2312" w:hAnsi="仿宋_GB2312" w:cs="仿宋_GB2312" w:eastAsia="仿宋_GB2312"/>
                <w:sz w:val="21"/>
              </w:rPr>
              <w:t>本项目在实施过程中将依据文物保护的基本原则，对目标文物进行科学的保护与修复，以期恢复文物的原貌、延长文物的寿命。</w:t>
            </w:r>
          </w:p>
          <w:p>
            <w:pPr>
              <w:pStyle w:val="null3"/>
              <w:jc w:val="both"/>
            </w:pPr>
            <w:r>
              <w:rPr>
                <w:rFonts w:ascii="仿宋_GB2312" w:hAnsi="仿宋_GB2312" w:cs="仿宋_GB2312" w:eastAsia="仿宋_GB2312"/>
                <w:sz w:val="21"/>
              </w:rPr>
              <w:t>二、服务内容及要求</w:t>
            </w:r>
          </w:p>
          <w:p>
            <w:pPr>
              <w:pStyle w:val="null3"/>
              <w:spacing w:before="75"/>
              <w:jc w:val="both"/>
            </w:pPr>
            <w:r>
              <w:rPr>
                <w:rFonts w:ascii="仿宋_GB2312" w:hAnsi="仿宋_GB2312" w:cs="仿宋_GB2312" w:eastAsia="仿宋_GB2312"/>
                <w:sz w:val="21"/>
              </w:rPr>
              <w:t>1、</w:t>
            </w:r>
            <w:r>
              <w:rPr>
                <w:rFonts w:ascii="仿宋_GB2312" w:hAnsi="仿宋_GB2312" w:cs="仿宋_GB2312" w:eastAsia="仿宋_GB2312"/>
                <w:sz w:val="21"/>
                <w:color w:val="000000"/>
              </w:rPr>
              <w:t>服务内容包括但不限于人工修复、材料、工具、专用设备、</w:t>
            </w:r>
            <w:r>
              <w:rPr>
                <w:rFonts w:ascii="仿宋_GB2312" w:hAnsi="仿宋_GB2312" w:cs="仿宋_GB2312" w:eastAsia="仿宋_GB2312"/>
                <w:sz w:val="21"/>
                <w:color w:val="000000"/>
              </w:rPr>
              <w:t>咨询会议、中期验收会议、结项鉴定会议、文献检索、照片打印、修复档案、编写修复报告、关键保护修复环节的专家咨询（保护修复实施前和保护修复实施过程中期，请专家到现场指导，含专家旅费、专家费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、严格</w:t>
            </w:r>
            <w:r>
              <w:rPr>
                <w:rFonts w:ascii="仿宋_GB2312" w:hAnsi="仿宋_GB2312" w:cs="仿宋_GB2312" w:eastAsia="仿宋_GB2312"/>
                <w:sz w:val="21"/>
              </w:rPr>
              <w:t>按照批复的修复方案进行文物修复工作。但由于文物个体差异的存在，保护中将可能存在一些不</w:t>
            </w:r>
            <w:r>
              <w:rPr>
                <w:rFonts w:ascii="仿宋_GB2312" w:hAnsi="仿宋_GB2312" w:cs="仿宋_GB2312" w:eastAsia="仿宋_GB2312"/>
                <w:sz w:val="21"/>
              </w:rPr>
              <w:t>确定因素，供应商须根据不同文物的个体差异进行保护工作。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、保障文物安全，选择具备与文物相适应的风险防范等级的场所进行保护修复</w:t>
            </w:r>
            <w:r>
              <w:rPr>
                <w:rFonts w:ascii="仿宋_GB2312" w:hAnsi="仿宋_GB2312" w:cs="仿宋_GB2312" w:eastAsia="仿宋_GB2312"/>
                <w:sz w:val="21"/>
              </w:rPr>
              <w:t>:</w:t>
            </w:r>
            <w:r>
              <w:rPr>
                <w:rFonts w:ascii="仿宋_GB2312" w:hAnsi="仿宋_GB2312" w:cs="仿宋_GB2312" w:eastAsia="仿宋_GB2312"/>
                <w:sz w:val="21"/>
              </w:rPr>
              <w:t>确保被修复文物在修复时间内的安全</w:t>
            </w:r>
            <w:r>
              <w:rPr>
                <w:rFonts w:ascii="仿宋_GB2312" w:hAnsi="仿宋_GB2312" w:cs="仿宋_GB2312" w:eastAsia="仿宋_GB2312"/>
                <w:sz w:val="21"/>
              </w:rPr>
              <w:t>;</w:t>
            </w:r>
            <w:r>
              <w:rPr>
                <w:rFonts w:ascii="仿宋_GB2312" w:hAnsi="仿宋_GB2312" w:cs="仿宋_GB2312" w:eastAsia="仿宋_GB2312"/>
                <w:sz w:val="21"/>
              </w:rPr>
              <w:t>供应商应制定风险防范预案，保证应急处理的合理性</w:t>
            </w:r>
            <w:r>
              <w:rPr>
                <w:rFonts w:ascii="仿宋_GB2312" w:hAnsi="仿宋_GB2312" w:cs="仿宋_GB2312" w:eastAsia="仿宋_GB2312"/>
                <w:sz w:val="21"/>
              </w:rPr>
              <w:t>:</w:t>
            </w:r>
            <w:r>
              <w:rPr>
                <w:rFonts w:ascii="仿宋_GB2312" w:hAnsi="仿宋_GB2312" w:cs="仿宋_GB2312" w:eastAsia="仿宋_GB2312"/>
                <w:sz w:val="21"/>
              </w:rPr>
              <w:t>积极聘请专家进行指导、培训，提高保护人员的技术水平和风险防范意识</w:t>
            </w:r>
            <w:r>
              <w:rPr>
                <w:rFonts w:ascii="仿宋_GB2312" w:hAnsi="仿宋_GB2312" w:cs="仿宋_GB2312" w:eastAsia="仿宋_GB2312"/>
                <w:sz w:val="21"/>
              </w:rPr>
              <w:t>:</w:t>
            </w:r>
            <w:r>
              <w:rPr>
                <w:rFonts w:ascii="仿宋_GB2312" w:hAnsi="仿宋_GB2312" w:cs="仿宋_GB2312" w:eastAsia="仿宋_GB2312"/>
                <w:sz w:val="21"/>
              </w:rPr>
              <w:t>通过加强监察管理，发现问题及时纠正，将损失控制在最小范围。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、主要修复人员须具有文物修复经验。现场由文物修复专业技术人员负责并进行技术把关，在修复过程中发现问题及时修正方案。</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、坚持最小干预原则，采用的保护措施以延续文物寿命为主要目标。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清理时主要采用物理方法，针对附着力较强的污渍可依据分析结果适当采取化学试剂辅助。在根据文物断面情况采取不同的粘接手段，必要时可添加锚杆连接。在补缺时需选用与陶质理化性能接近的材质，尽可能保证文物在库房和展厅存放中的稳定。</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、根据本馆的实际情况提出保存和陈列建议，对保存环境温湿度、落尘量、有害气体、生物病害、人为变因等进行控制，并提出后续改善方案，以利于长期保存及延长其文物寿命。</w:t>
            </w:r>
          </w:p>
          <w:p>
            <w:pPr>
              <w:pStyle w:val="null3"/>
              <w:spacing w:before="75"/>
              <w:ind w:left="120"/>
              <w:jc w:val="both"/>
            </w:pPr>
            <w:r>
              <w:rPr>
                <w:rFonts w:ascii="仿宋_GB2312" w:hAnsi="仿宋_GB2312" w:cs="仿宋_GB2312" w:eastAsia="仿宋_GB2312"/>
                <w:sz w:val="21"/>
              </w:rPr>
              <w:t>8</w:t>
            </w:r>
            <w:r>
              <w:rPr>
                <w:rFonts w:ascii="仿宋_GB2312" w:hAnsi="仿宋_GB2312" w:cs="仿宋_GB2312" w:eastAsia="仿宋_GB2312"/>
                <w:sz w:val="21"/>
              </w:rPr>
              <w:t>、保护修复档案按照《陶质彩绘文物保护修复档案记录规范》（</w:t>
            </w:r>
            <w:r>
              <w:rPr>
                <w:rFonts w:ascii="仿宋_GB2312" w:hAnsi="仿宋_GB2312" w:cs="仿宋_GB2312" w:eastAsia="仿宋_GB2312"/>
                <w:sz w:val="21"/>
              </w:rPr>
              <w:t>WW/T 00</w:t>
            </w:r>
            <w:r>
              <w:rPr>
                <w:rFonts w:ascii="仿宋_GB2312" w:hAnsi="仿宋_GB2312" w:cs="仿宋_GB2312" w:eastAsia="仿宋_GB2312"/>
                <w:sz w:val="21"/>
              </w:rPr>
              <w:t>23</w:t>
            </w:r>
            <w:r>
              <w:rPr>
                <w:rFonts w:ascii="仿宋_GB2312" w:hAnsi="仿宋_GB2312" w:cs="仿宋_GB2312" w:eastAsia="仿宋_GB2312"/>
                <w:sz w:val="21"/>
              </w:rPr>
              <w:t>-20</w:t>
            </w:r>
            <w:r>
              <w:rPr>
                <w:rFonts w:ascii="仿宋_GB2312" w:hAnsi="仿宋_GB2312" w:cs="仿宋_GB2312" w:eastAsia="仿宋_GB2312"/>
                <w:sz w:val="21"/>
              </w:rPr>
              <w:t>10</w:t>
            </w:r>
            <w:r>
              <w:rPr>
                <w:rFonts w:ascii="仿宋_GB2312" w:hAnsi="仿宋_GB2312" w:cs="仿宋_GB2312" w:eastAsia="仿宋_GB2312"/>
                <w:sz w:val="21"/>
              </w:rPr>
              <w:t>）编写。</w:t>
            </w:r>
          </w:p>
          <w:p>
            <w:pPr>
              <w:pStyle w:val="null3"/>
              <w:jc w:val="both"/>
            </w:pPr>
            <w:r>
              <w:rPr>
                <w:rFonts w:ascii="仿宋_GB2312" w:hAnsi="仿宋_GB2312" w:cs="仿宋_GB2312" w:eastAsia="仿宋_GB2312"/>
                <w:sz w:val="21"/>
              </w:rPr>
              <w:t>三、设备清单</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专用设备仪器</w:t>
            </w:r>
          </w:p>
          <w:tbl>
            <w:tblPr>
              <w:tblInd w:type="dxa" w:w="105"/>
              <w:tblBorders>
                <w:top w:val="none" w:color="000000" w:sz="4"/>
                <w:left w:val="none" w:color="000000" w:sz="4"/>
                <w:bottom w:val="none" w:color="000000" w:sz="4"/>
                <w:right w:val="none" w:color="000000" w:sz="4"/>
                <w:insideH w:val="none"/>
                <w:insideV w:val="none"/>
              </w:tblBorders>
            </w:tblPr>
            <w:tblGrid>
              <w:gridCol w:w="616"/>
              <w:gridCol w:w="1528"/>
              <w:gridCol w:w="1675"/>
            </w:tblGrid>
            <w:tr>
              <w:tc>
                <w:tcPr>
                  <w:tcW w:type="dxa" w:w="6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jc w:val="both"/>
                  </w:pPr>
                  <w:r>
                    <w:rPr>
                      <w:rFonts w:ascii="仿宋_GB2312" w:hAnsi="仿宋_GB2312" w:cs="仿宋_GB2312" w:eastAsia="仿宋_GB2312"/>
                      <w:sz w:val="21"/>
                    </w:rPr>
                    <w:t>编号</w:t>
                  </w:r>
                </w:p>
              </w:tc>
              <w:tc>
                <w:tcPr>
                  <w:tcW w:type="dxa" w:w="15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45"/>
                    <w:jc w:val="both"/>
                  </w:pPr>
                  <w:r>
                    <w:rPr>
                      <w:rFonts w:ascii="仿宋_GB2312" w:hAnsi="仿宋_GB2312" w:cs="仿宋_GB2312" w:eastAsia="仿宋_GB2312"/>
                      <w:sz w:val="21"/>
                    </w:rPr>
                    <w:t>名称</w:t>
                  </w:r>
                </w:p>
              </w:tc>
              <w:tc>
                <w:tcPr>
                  <w:tcW w:type="dxa" w:w="16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0"/>
                    <w:jc w:val="both"/>
                  </w:pPr>
                  <w:r>
                    <w:rPr>
                      <w:rFonts w:ascii="仿宋_GB2312" w:hAnsi="仿宋_GB2312" w:cs="仿宋_GB2312" w:eastAsia="仿宋_GB2312"/>
                      <w:sz w:val="21"/>
                    </w:rPr>
                    <w:t>数量</w:t>
                  </w:r>
                </w:p>
              </w:tc>
            </w:tr>
            <w:tr>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1</w:t>
                  </w:r>
                </w:p>
              </w:tc>
              <w:tc>
                <w:tcPr>
                  <w:tcW w:type="dxa" w:w="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jc w:val="both"/>
                  </w:pPr>
                  <w:r>
                    <w:rPr>
                      <w:rFonts w:ascii="仿宋_GB2312" w:hAnsi="仿宋_GB2312" w:cs="仿宋_GB2312" w:eastAsia="仿宋_GB2312"/>
                      <w:sz w:val="21"/>
                    </w:rPr>
                    <w:t>超声波清洗机</w:t>
                  </w:r>
                </w:p>
              </w:tc>
              <w:tc>
                <w:tcPr>
                  <w:tcW w:type="dxa" w:w="1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rFonts w:ascii="仿宋_GB2312" w:hAnsi="仿宋_GB2312" w:cs="仿宋_GB2312" w:eastAsia="仿宋_GB2312"/>
                      <w:sz w:val="21"/>
                    </w:rPr>
                    <w:t>2</w:t>
                  </w:r>
                  <w:r>
                    <w:rPr>
                      <w:rFonts w:ascii="仿宋_GB2312" w:hAnsi="仿宋_GB2312" w:cs="仿宋_GB2312" w:eastAsia="仿宋_GB2312"/>
                    </w:rPr>
                    <w:t xml:space="preserve"> </w:t>
                  </w:r>
                  <w:r>
                    <w:rPr>
                      <w:rFonts w:ascii="仿宋_GB2312" w:hAnsi="仿宋_GB2312" w:cs="仿宋_GB2312" w:eastAsia="仿宋_GB2312"/>
                      <w:sz w:val="21"/>
                    </w:rPr>
                    <w:t>台</w:t>
                  </w:r>
                </w:p>
              </w:tc>
            </w:tr>
            <w:tr>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pPr>
                  <w:r>
                    <w:rPr>
                      <w:rFonts w:ascii="仿宋_GB2312" w:hAnsi="仿宋_GB2312" w:cs="仿宋_GB2312" w:eastAsia="仿宋_GB2312"/>
                      <w:sz w:val="21"/>
                    </w:rPr>
                    <w:t>2</w:t>
                  </w:r>
                </w:p>
              </w:tc>
              <w:tc>
                <w:tcPr>
                  <w:tcW w:type="dxa" w:w="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40"/>
                    <w:jc w:val="both"/>
                  </w:pPr>
                  <w:r>
                    <w:rPr>
                      <w:rFonts w:ascii="仿宋_GB2312" w:hAnsi="仿宋_GB2312" w:cs="仿宋_GB2312" w:eastAsia="仿宋_GB2312"/>
                      <w:sz w:val="21"/>
                    </w:rPr>
                    <w:t>洁牙机</w:t>
                  </w:r>
                </w:p>
              </w:tc>
              <w:tc>
                <w:tcPr>
                  <w:tcW w:type="dxa" w:w="1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rFonts w:ascii="仿宋_GB2312" w:hAnsi="仿宋_GB2312" w:cs="仿宋_GB2312" w:eastAsia="仿宋_GB2312"/>
                      <w:sz w:val="21"/>
                    </w:rPr>
                    <w:t>4</w:t>
                  </w:r>
                  <w:r>
                    <w:rPr>
                      <w:rFonts w:ascii="仿宋_GB2312" w:hAnsi="仿宋_GB2312" w:cs="仿宋_GB2312" w:eastAsia="仿宋_GB2312"/>
                    </w:rPr>
                    <w:t xml:space="preserve"> </w:t>
                  </w:r>
                  <w:r>
                    <w:rPr>
                      <w:rFonts w:ascii="仿宋_GB2312" w:hAnsi="仿宋_GB2312" w:cs="仿宋_GB2312" w:eastAsia="仿宋_GB2312"/>
                      <w:sz w:val="21"/>
                    </w:rPr>
                    <w:t>台</w:t>
                  </w:r>
                </w:p>
              </w:tc>
            </w:tr>
            <w:tr>
              <w:tc>
                <w:tcPr>
                  <w:tcW w:type="dxa" w:w="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pPr>
                  <w:r>
                    <w:rPr>
                      <w:rFonts w:ascii="仿宋_GB2312" w:hAnsi="仿宋_GB2312" w:cs="仿宋_GB2312" w:eastAsia="仿宋_GB2312"/>
                      <w:sz w:val="21"/>
                    </w:rPr>
                    <w:t>3</w:t>
                  </w:r>
                </w:p>
              </w:tc>
              <w:tc>
                <w:tcPr>
                  <w:tcW w:type="dxa" w:w="1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both"/>
                  </w:pPr>
                  <w:r>
                    <w:rPr>
                      <w:rFonts w:ascii="仿宋_GB2312" w:hAnsi="仿宋_GB2312" w:cs="仿宋_GB2312" w:eastAsia="仿宋_GB2312"/>
                      <w:sz w:val="21"/>
                    </w:rPr>
                    <w:t>电导率仪</w:t>
                  </w:r>
                </w:p>
              </w:tc>
              <w:tc>
                <w:tcPr>
                  <w:tcW w:type="dxa" w:w="1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rFonts w:ascii="仿宋_GB2312" w:hAnsi="仿宋_GB2312" w:cs="仿宋_GB2312" w:eastAsia="仿宋_GB2312"/>
                      <w:sz w:val="21"/>
                    </w:rPr>
                    <w:t>2</w:t>
                  </w:r>
                  <w:r>
                    <w:rPr>
                      <w:rFonts w:ascii="仿宋_GB2312" w:hAnsi="仿宋_GB2312" w:cs="仿宋_GB2312" w:eastAsia="仿宋_GB2312"/>
                    </w:rPr>
                    <w:t xml:space="preserve"> </w:t>
                  </w:r>
                  <w:r>
                    <w:rPr>
                      <w:rFonts w:ascii="仿宋_GB2312" w:hAnsi="仿宋_GB2312" w:cs="仿宋_GB2312" w:eastAsia="仿宋_GB2312"/>
                      <w:sz w:val="21"/>
                    </w:rPr>
                    <w:t>台</w:t>
                  </w:r>
                </w:p>
              </w:tc>
            </w:tr>
          </w:tbl>
          <w:p>
            <w:pPr>
              <w:pStyle w:val="null3"/>
              <w:spacing w:before="120"/>
              <w:ind w:left="120"/>
              <w:jc w:val="both"/>
            </w:pPr>
            <w:r>
              <w:rPr>
                <w:rFonts w:ascii="仿宋_GB2312" w:hAnsi="仿宋_GB2312" w:cs="仿宋_GB2312" w:eastAsia="仿宋_GB2312"/>
                <w:sz w:val="21"/>
              </w:rPr>
              <w:t>②</w:t>
            </w:r>
            <w:r>
              <w:rPr>
                <w:rFonts w:ascii="仿宋_GB2312" w:hAnsi="仿宋_GB2312" w:cs="仿宋_GB2312" w:eastAsia="仿宋_GB2312"/>
                <w:sz w:val="21"/>
              </w:rPr>
              <w:t>前期试验</w:t>
            </w:r>
            <w:r>
              <w:rPr>
                <w:rFonts w:ascii="仿宋_GB2312" w:hAnsi="仿宋_GB2312" w:cs="仿宋_GB2312" w:eastAsia="仿宋_GB2312"/>
                <w:sz w:val="21"/>
              </w:rPr>
              <w:t>、分析测试等</w:t>
            </w:r>
          </w:p>
          <w:tbl>
            <w:tblPr>
              <w:tblInd w:type="dxa" w:w="105"/>
              <w:tblBorders>
                <w:top w:val="none" w:color="000000" w:sz="4"/>
                <w:left w:val="none" w:color="000000" w:sz="4"/>
                <w:bottom w:val="none" w:color="000000" w:sz="4"/>
                <w:right w:val="none" w:color="000000" w:sz="4"/>
                <w:insideH w:val="none"/>
                <w:insideV w:val="none"/>
              </w:tblBorders>
            </w:tblPr>
            <w:tblGrid>
              <w:gridCol w:w="374"/>
              <w:gridCol w:w="1768"/>
              <w:gridCol w:w="1681"/>
            </w:tblGrid>
            <w:tr>
              <w:tc>
                <w:tcPr>
                  <w:tcW w:type="dxa" w:w="3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jc w:val="both"/>
                  </w:pPr>
                  <w:r>
                    <w:rPr>
                      <w:rFonts w:ascii="仿宋_GB2312" w:hAnsi="仿宋_GB2312" w:cs="仿宋_GB2312" w:eastAsia="仿宋_GB2312"/>
                      <w:sz w:val="21"/>
                    </w:rPr>
                    <w:t>编</w:t>
                  </w:r>
                  <w:r>
                    <w:rPr>
                      <w:rFonts w:ascii="仿宋_GB2312" w:hAnsi="仿宋_GB2312" w:cs="仿宋_GB2312" w:eastAsia="仿宋_GB2312"/>
                      <w:sz w:val="21"/>
                    </w:rPr>
                    <w:t xml:space="preserve">  </w:t>
                  </w:r>
                  <w:r>
                    <w:rPr>
                      <w:rFonts w:ascii="仿宋_GB2312" w:hAnsi="仿宋_GB2312" w:cs="仿宋_GB2312" w:eastAsia="仿宋_GB2312"/>
                      <w:sz w:val="21"/>
                    </w:rPr>
                    <w:t>号</w:t>
                  </w:r>
                </w:p>
              </w:tc>
              <w:tc>
                <w:tcPr>
                  <w:tcW w:type="dxa" w:w="17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名称</w:t>
                  </w:r>
                </w:p>
              </w:tc>
              <w:tc>
                <w:tcPr>
                  <w:tcW w:type="dxa" w:w="16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/（小时）</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21"/>
                    </w:rPr>
                    <w:t>1</w:t>
                  </w:r>
                </w:p>
              </w:tc>
              <w:tc>
                <w:tcPr>
                  <w:tcW w:type="dxa" w:w="1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jc w:val="both"/>
                  </w:pPr>
                  <w:r>
                    <w:rPr>
                      <w:rFonts w:ascii="仿宋_GB2312" w:hAnsi="仿宋_GB2312" w:cs="仿宋_GB2312" w:eastAsia="仿宋_GB2312"/>
                      <w:sz w:val="21"/>
                    </w:rPr>
                    <w:t>体式显微镜观察</w:t>
                  </w:r>
                </w:p>
              </w:tc>
              <w:tc>
                <w:tcPr>
                  <w:tcW w:type="dxa" w:w="1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0"/>
                  </w:pPr>
                  <w:r>
                    <w:rPr>
                      <w:rFonts w:ascii="仿宋_GB2312" w:hAnsi="仿宋_GB2312" w:cs="仿宋_GB2312" w:eastAsia="仿宋_GB2312"/>
                      <w:sz w:val="21"/>
                    </w:rPr>
                    <w:t>50</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p>
              </w:tc>
              <w:tc>
                <w:tcPr>
                  <w:tcW w:type="dxa" w:w="1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85" w:right="15"/>
                    <w:jc w:val="both"/>
                  </w:pPr>
                  <w:r>
                    <w:rPr>
                      <w:rFonts w:ascii="仿宋_GB2312" w:hAnsi="仿宋_GB2312" w:cs="仿宋_GB2312" w:eastAsia="仿宋_GB2312"/>
                      <w:sz w:val="21"/>
                    </w:rPr>
                    <w:t>偏光显微镜分析观</w:t>
                  </w:r>
                  <w:r>
                    <w:rPr>
                      <w:rFonts w:ascii="仿宋_GB2312" w:hAnsi="仿宋_GB2312" w:cs="仿宋_GB2312" w:eastAsia="仿宋_GB2312"/>
                      <w:sz w:val="21"/>
                    </w:rPr>
                    <w:t xml:space="preserve"> </w:t>
                  </w:r>
                  <w:r>
                    <w:rPr>
                      <w:rFonts w:ascii="仿宋_GB2312" w:hAnsi="仿宋_GB2312" w:cs="仿宋_GB2312" w:eastAsia="仿宋_GB2312"/>
                      <w:sz w:val="21"/>
                    </w:rPr>
                    <w:t>察</w:t>
                  </w:r>
                </w:p>
              </w:tc>
              <w:tc>
                <w:tcPr>
                  <w:tcW w:type="dxa" w:w="1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0"/>
                  </w:pPr>
                  <w:r>
                    <w:rPr>
                      <w:rFonts w:ascii="仿宋_GB2312" w:hAnsi="仿宋_GB2312" w:cs="仿宋_GB2312" w:eastAsia="仿宋_GB2312"/>
                      <w:sz w:val="21"/>
                    </w:rPr>
                    <w:t>50</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p>
              </w:tc>
              <w:tc>
                <w:tcPr>
                  <w:tcW w:type="dxa" w:w="1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85" w:right="15"/>
                    <w:jc w:val="both"/>
                  </w:pPr>
                  <w:r>
                    <w:rPr>
                      <w:rFonts w:ascii="仿宋_GB2312" w:hAnsi="仿宋_GB2312" w:cs="仿宋_GB2312" w:eastAsia="仿宋_GB2312"/>
                      <w:sz w:val="21"/>
                    </w:rPr>
                    <w:t>扫描电镜及能谱分</w:t>
                  </w:r>
                  <w:r>
                    <w:rPr>
                      <w:rFonts w:ascii="仿宋_GB2312" w:hAnsi="仿宋_GB2312" w:cs="仿宋_GB2312" w:eastAsia="仿宋_GB2312"/>
                      <w:sz w:val="21"/>
                    </w:rPr>
                    <w:t xml:space="preserve"> </w:t>
                  </w:r>
                  <w:r>
                    <w:rPr>
                      <w:rFonts w:ascii="仿宋_GB2312" w:hAnsi="仿宋_GB2312" w:cs="仿宋_GB2312" w:eastAsia="仿宋_GB2312"/>
                      <w:sz w:val="21"/>
                    </w:rPr>
                    <w:t>析</w:t>
                  </w:r>
                </w:p>
              </w:tc>
              <w:tc>
                <w:tcPr>
                  <w:tcW w:type="dxa" w:w="1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65"/>
                  </w:pPr>
                  <w:r>
                    <w:rPr>
                      <w:rFonts w:ascii="仿宋_GB2312" w:hAnsi="仿宋_GB2312" w:cs="仿宋_GB2312" w:eastAsia="仿宋_GB2312"/>
                      <w:sz w:val="21"/>
                    </w:rPr>
                    <w:t>10</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4</w:t>
                  </w:r>
                </w:p>
              </w:tc>
              <w:tc>
                <w:tcPr>
                  <w:tcW w:type="dxa" w:w="1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jc w:val="both"/>
                  </w:pPr>
                  <w:r>
                    <w:rPr>
                      <w:rFonts w:ascii="仿宋_GB2312" w:hAnsi="仿宋_GB2312" w:cs="仿宋_GB2312" w:eastAsia="仿宋_GB2312"/>
                      <w:sz w:val="21"/>
                    </w:rPr>
                    <w:t>激光拉曼光谱</w:t>
                  </w:r>
                </w:p>
              </w:tc>
              <w:tc>
                <w:tcPr>
                  <w:tcW w:type="dxa" w:w="1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35"/>
                  </w:pPr>
                  <w:r>
                    <w:rPr>
                      <w:rFonts w:ascii="仿宋_GB2312" w:hAnsi="仿宋_GB2312" w:cs="仿宋_GB2312" w:eastAsia="仿宋_GB2312"/>
                      <w:sz w:val="21"/>
                    </w:rPr>
                    <w:t>20</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w:t>
                  </w:r>
                </w:p>
              </w:tc>
              <w:tc>
                <w:tcPr>
                  <w:tcW w:type="dxa" w:w="1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60" w:right="15"/>
                    <w:jc w:val="both"/>
                  </w:pPr>
                  <w:r>
                    <w:rPr>
                      <w:rFonts w:ascii="仿宋_GB2312" w:hAnsi="仿宋_GB2312" w:cs="仿宋_GB2312" w:eastAsia="仿宋_GB2312"/>
                      <w:sz w:val="21"/>
                    </w:rPr>
                    <w:t>可溶盐离子色谱定</w:t>
                  </w:r>
                  <w:r>
                    <w:rPr>
                      <w:rFonts w:ascii="仿宋_GB2312" w:hAnsi="仿宋_GB2312" w:cs="仿宋_GB2312" w:eastAsia="仿宋_GB2312"/>
                      <w:sz w:val="21"/>
                    </w:rPr>
                    <w:t xml:space="preserve"> </w:t>
                  </w:r>
                  <w:r>
                    <w:rPr>
                      <w:rFonts w:ascii="仿宋_GB2312" w:hAnsi="仿宋_GB2312" w:cs="仿宋_GB2312" w:eastAsia="仿宋_GB2312"/>
                      <w:sz w:val="21"/>
                    </w:rPr>
                    <w:t>量分析</w:t>
                  </w:r>
                </w:p>
              </w:tc>
              <w:tc>
                <w:tcPr>
                  <w:tcW w:type="dxa" w:w="1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65"/>
                  </w:pPr>
                  <w:r>
                    <w:rPr>
                      <w:rFonts w:ascii="仿宋_GB2312" w:hAnsi="仿宋_GB2312" w:cs="仿宋_GB2312" w:eastAsia="仿宋_GB2312"/>
                      <w:sz w:val="21"/>
                    </w:rPr>
                    <w:t>10</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21"/>
                    </w:rPr>
                    <w:t>6</w:t>
                  </w:r>
                </w:p>
              </w:tc>
              <w:tc>
                <w:tcPr>
                  <w:tcW w:type="dxa" w:w="1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jc w:val="both"/>
                  </w:pPr>
                  <w:r>
                    <w:rPr>
                      <w:rFonts w:ascii="仿宋_GB2312" w:hAnsi="仿宋_GB2312" w:cs="仿宋_GB2312" w:eastAsia="仿宋_GB2312"/>
                      <w:sz w:val="21"/>
                    </w:rPr>
                    <w:t>脱盐电导率分析</w:t>
                  </w:r>
                </w:p>
              </w:tc>
              <w:tc>
                <w:tcPr>
                  <w:tcW w:type="dxa" w:w="1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0"/>
                  </w:pPr>
                  <w:r>
                    <w:rPr>
                      <w:rFonts w:ascii="仿宋_GB2312" w:hAnsi="仿宋_GB2312" w:cs="仿宋_GB2312" w:eastAsia="仿宋_GB2312"/>
                      <w:sz w:val="21"/>
                    </w:rPr>
                    <w:t>50</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7</w:t>
                  </w:r>
                </w:p>
              </w:tc>
              <w:tc>
                <w:tcPr>
                  <w:tcW w:type="dxa" w:w="17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85" w:right="15"/>
                    <w:jc w:val="both"/>
                  </w:pPr>
                  <w:r>
                    <w:rPr>
                      <w:rFonts w:ascii="仿宋_GB2312" w:hAnsi="仿宋_GB2312" w:cs="仿宋_GB2312" w:eastAsia="仿宋_GB2312"/>
                      <w:sz w:val="21"/>
                    </w:rPr>
                    <w:t>烧成温度与性能分</w:t>
                  </w:r>
                  <w:r>
                    <w:rPr>
                      <w:rFonts w:ascii="仿宋_GB2312" w:hAnsi="仿宋_GB2312" w:cs="仿宋_GB2312" w:eastAsia="仿宋_GB2312"/>
                      <w:sz w:val="21"/>
                    </w:rPr>
                    <w:t xml:space="preserve"> </w:t>
                  </w:r>
                  <w:r>
                    <w:rPr>
                      <w:rFonts w:ascii="仿宋_GB2312" w:hAnsi="仿宋_GB2312" w:cs="仿宋_GB2312" w:eastAsia="仿宋_GB2312"/>
                      <w:sz w:val="21"/>
                    </w:rPr>
                    <w:t>析</w:t>
                  </w:r>
                </w:p>
              </w:tc>
              <w:tc>
                <w:tcPr>
                  <w:tcW w:type="dxa" w:w="16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35"/>
                  </w:pPr>
                  <w:r>
                    <w:rPr>
                      <w:rFonts w:ascii="仿宋_GB2312" w:hAnsi="仿宋_GB2312" w:cs="仿宋_GB2312" w:eastAsia="仿宋_GB2312"/>
                      <w:sz w:val="21"/>
                    </w:rPr>
                    <w:t>20</w:t>
                  </w:r>
                </w:p>
              </w:tc>
            </w:tr>
          </w:tbl>
          <w:p>
            <w:pPr>
              <w:pStyle w:val="null3"/>
              <w:spacing w:before="120"/>
              <w:ind w:left="120"/>
              <w:jc w:val="both"/>
            </w:pPr>
            <w:r>
              <w:rPr>
                <w:rFonts w:ascii="仿宋_GB2312" w:hAnsi="仿宋_GB2312" w:cs="仿宋_GB2312" w:eastAsia="仿宋_GB2312"/>
                <w:sz w:val="21"/>
              </w:rPr>
              <w:t>③工具及材料</w:t>
            </w:r>
            <w:r>
              <w:rPr>
                <w:rFonts w:ascii="仿宋_GB2312" w:hAnsi="仿宋_GB2312" w:cs="仿宋_GB2312" w:eastAsia="仿宋_GB2312"/>
                <w:sz w:val="21"/>
              </w:rPr>
              <w:t>消耗品</w:t>
            </w:r>
          </w:p>
          <w:tbl>
            <w:tblPr>
              <w:tblInd w:type="dxa" w:w="105"/>
              <w:tblBorders>
                <w:top w:val="none" w:color="000000" w:sz="4"/>
                <w:left w:val="none" w:color="000000" w:sz="4"/>
                <w:bottom w:val="none" w:color="000000" w:sz="4"/>
                <w:right w:val="none" w:color="000000" w:sz="4"/>
                <w:insideH w:val="none"/>
                <w:insideV w:val="none"/>
              </w:tblBorders>
            </w:tblPr>
            <w:tblGrid>
              <w:gridCol w:w="1442"/>
              <w:gridCol w:w="813"/>
              <w:gridCol w:w="769"/>
              <w:gridCol w:w="795"/>
            </w:tblGrid>
            <w:tr>
              <w:tc>
                <w:tcPr>
                  <w:tcW w:type="dxa" w:w="14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rPr>
                    <w:t>名称</w:t>
                  </w:r>
                </w:p>
              </w:tc>
              <w:tc>
                <w:tcPr>
                  <w:tcW w:type="dxa" w:w="8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rPr>
                    <w:t>规格</w:t>
                  </w:r>
                </w:p>
              </w:tc>
              <w:tc>
                <w:tcPr>
                  <w:tcW w:type="dxa" w:w="7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rPr>
                    <w:t>单位</w:t>
                  </w:r>
                </w:p>
              </w:tc>
              <w:tc>
                <w:tcPr>
                  <w:tcW w:type="dxa" w:w="7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rPr>
                    <w:t>数量</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0"/>
                    <w:jc w:val="both"/>
                  </w:pPr>
                  <w:r>
                    <w:rPr>
                      <w:rFonts w:ascii="仿宋_GB2312" w:hAnsi="仿宋_GB2312" w:cs="仿宋_GB2312" w:eastAsia="仿宋_GB2312"/>
                      <w:sz w:val="21"/>
                    </w:rPr>
                    <w:t>毛刷</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把</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1"/>
                    </w:rPr>
                    <w:t>15</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585"/>
                    <w:jc w:val="both"/>
                  </w:pPr>
                  <w:r>
                    <w:rPr>
                      <w:rFonts w:ascii="仿宋_GB2312" w:hAnsi="仿宋_GB2312" w:cs="仿宋_GB2312" w:eastAsia="仿宋_GB2312"/>
                      <w:sz w:val="21"/>
                    </w:rPr>
                    <w:t>烧杯</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80"/>
                    <w:jc w:val="both"/>
                  </w:pPr>
                  <w:r>
                    <w:rPr>
                      <w:rFonts w:ascii="仿宋_GB2312" w:hAnsi="仿宋_GB2312" w:cs="仿宋_GB2312" w:eastAsia="仿宋_GB2312"/>
                      <w:sz w:val="21"/>
                    </w:rPr>
                    <w:t>500ml</w:t>
                  </w: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jc w:val="both"/>
                  </w:pPr>
                  <w:r>
                    <w:rPr>
                      <w:rFonts w:ascii="仿宋_GB2312" w:hAnsi="仿宋_GB2312" w:cs="仿宋_GB2312" w:eastAsia="仿宋_GB2312"/>
                      <w:sz w:val="21"/>
                    </w:rPr>
                    <w:t>个</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1"/>
                    </w:rPr>
                    <w:t>10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585"/>
                    <w:jc w:val="both"/>
                  </w:pPr>
                  <w:r>
                    <w:rPr>
                      <w:rFonts w:ascii="仿宋_GB2312" w:hAnsi="仿宋_GB2312" w:cs="仿宋_GB2312" w:eastAsia="仿宋_GB2312"/>
                      <w:sz w:val="21"/>
                    </w:rPr>
                    <w:t>烧杯</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jc w:val="both"/>
                  </w:pPr>
                  <w:r>
                    <w:rPr>
                      <w:rFonts w:ascii="仿宋_GB2312" w:hAnsi="仿宋_GB2312" w:cs="仿宋_GB2312" w:eastAsia="仿宋_GB2312"/>
                      <w:sz w:val="21"/>
                    </w:rPr>
                    <w:t>1000ml</w:t>
                  </w: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jc w:val="both"/>
                  </w:pPr>
                  <w:r>
                    <w:rPr>
                      <w:rFonts w:ascii="仿宋_GB2312" w:hAnsi="仿宋_GB2312" w:cs="仿宋_GB2312" w:eastAsia="仿宋_GB2312"/>
                      <w:sz w:val="21"/>
                    </w:rPr>
                    <w:t>个</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1"/>
                    </w:rPr>
                    <w:t>10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85"/>
                    <w:jc w:val="both"/>
                  </w:pPr>
                  <w:r>
                    <w:rPr>
                      <w:rFonts w:ascii="仿宋_GB2312" w:hAnsi="仿宋_GB2312" w:cs="仿宋_GB2312" w:eastAsia="仿宋_GB2312"/>
                      <w:sz w:val="21"/>
                    </w:rPr>
                    <w:t>量筒</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80"/>
                    <w:jc w:val="both"/>
                  </w:pPr>
                  <w:r>
                    <w:rPr>
                      <w:rFonts w:ascii="仿宋_GB2312" w:hAnsi="仿宋_GB2312" w:cs="仿宋_GB2312" w:eastAsia="仿宋_GB2312"/>
                      <w:sz w:val="21"/>
                    </w:rPr>
                    <w:t>500ml</w:t>
                  </w: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jc w:val="both"/>
                  </w:pPr>
                  <w:r>
                    <w:rPr>
                      <w:rFonts w:ascii="仿宋_GB2312" w:hAnsi="仿宋_GB2312" w:cs="仿宋_GB2312" w:eastAsia="仿宋_GB2312"/>
                      <w:sz w:val="21"/>
                    </w:rPr>
                    <w:t>个</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both"/>
                  </w:pPr>
                  <w:r>
                    <w:rPr>
                      <w:rFonts w:ascii="仿宋_GB2312" w:hAnsi="仿宋_GB2312" w:cs="仿宋_GB2312" w:eastAsia="仿宋_GB2312"/>
                      <w:sz w:val="21"/>
                    </w:rPr>
                    <w:t>5</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0"/>
                    <w:jc w:val="both"/>
                  </w:pPr>
                  <w:r>
                    <w:rPr>
                      <w:rFonts w:ascii="仿宋_GB2312" w:hAnsi="仿宋_GB2312" w:cs="仿宋_GB2312" w:eastAsia="仿宋_GB2312"/>
                      <w:sz w:val="21"/>
                    </w:rPr>
                    <w:t>玻棒</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1"/>
                    </w:rPr>
                    <w:t>10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0"/>
                    <w:jc w:val="both"/>
                  </w:pPr>
                  <w:r>
                    <w:rPr>
                      <w:rFonts w:ascii="仿宋_GB2312" w:hAnsi="仿宋_GB2312" w:cs="仿宋_GB2312" w:eastAsia="仿宋_GB2312"/>
                      <w:sz w:val="21"/>
                    </w:rPr>
                    <w:t>喷壶</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both"/>
                  </w:pPr>
                  <w:r>
                    <w:rPr>
                      <w:rFonts w:ascii="仿宋_GB2312" w:hAnsi="仿宋_GB2312" w:cs="仿宋_GB2312" w:eastAsia="仿宋_GB2312"/>
                      <w:sz w:val="21"/>
                    </w:rPr>
                    <w:t>6</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jc w:val="both"/>
                  </w:pPr>
                  <w:r>
                    <w:rPr>
                      <w:rFonts w:ascii="仿宋_GB2312" w:hAnsi="仿宋_GB2312" w:cs="仿宋_GB2312" w:eastAsia="仿宋_GB2312"/>
                      <w:sz w:val="21"/>
                    </w:rPr>
                    <w:t>塑料桶</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桶</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both"/>
                  </w:pPr>
                  <w:r>
                    <w:rPr>
                      <w:rFonts w:ascii="仿宋_GB2312" w:hAnsi="仿宋_GB2312" w:cs="仿宋_GB2312" w:eastAsia="仿宋_GB2312"/>
                      <w:sz w:val="21"/>
                    </w:rPr>
                    <w:t>4</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right="225"/>
                    <w:jc w:val="both"/>
                  </w:pPr>
                  <w:r>
                    <w:rPr>
                      <w:rFonts w:ascii="仿宋_GB2312" w:hAnsi="仿宋_GB2312" w:cs="仿宋_GB2312" w:eastAsia="仿宋_GB2312"/>
                      <w:sz w:val="21"/>
                    </w:rPr>
                    <w:t>有机玻璃支</w:t>
                  </w:r>
                  <w:r>
                    <w:rPr>
                      <w:rFonts w:ascii="仿宋_GB2312" w:hAnsi="仿宋_GB2312" w:cs="仿宋_GB2312" w:eastAsia="仿宋_GB2312"/>
                      <w:sz w:val="21"/>
                    </w:rPr>
                    <w:t xml:space="preserve"> </w:t>
                  </w:r>
                  <w:r>
                    <w:rPr>
                      <w:rFonts w:ascii="仿宋_GB2312" w:hAnsi="仿宋_GB2312" w:cs="仿宋_GB2312" w:eastAsia="仿宋_GB2312"/>
                      <w:sz w:val="21"/>
                    </w:rPr>
                    <w:t>架订做</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45"/>
                    <w:jc w:val="both"/>
                  </w:pPr>
                  <w:r>
                    <w:rPr>
                      <w:rFonts w:ascii="仿宋_GB2312" w:hAnsi="仿宋_GB2312" w:cs="仿宋_GB2312" w:eastAsia="仿宋_GB2312"/>
                      <w:sz w:val="21"/>
                    </w:rPr>
                    <w:t>40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45"/>
                    <w:jc w:val="both"/>
                  </w:pPr>
                  <w:r>
                    <w:rPr>
                      <w:rFonts w:ascii="仿宋_GB2312" w:hAnsi="仿宋_GB2312" w:cs="仿宋_GB2312" w:eastAsia="仿宋_GB2312"/>
                      <w:sz w:val="21"/>
                    </w:rPr>
                    <w:t>手术手套</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盒</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both"/>
                  </w:pPr>
                  <w:r>
                    <w:rPr>
                      <w:rFonts w:ascii="仿宋_GB2312" w:hAnsi="仿宋_GB2312" w:cs="仿宋_GB2312" w:eastAsia="仿宋_GB2312"/>
                      <w:sz w:val="21"/>
                    </w:rPr>
                    <w:t>5</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30"/>
                    <w:jc w:val="both"/>
                  </w:pPr>
                  <w:r>
                    <w:rPr>
                      <w:rFonts w:ascii="仿宋_GB2312" w:hAnsi="仿宋_GB2312" w:cs="仿宋_GB2312" w:eastAsia="仿宋_GB2312"/>
                      <w:sz w:val="21"/>
                    </w:rPr>
                    <w:t>口罩</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盒</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both"/>
                  </w:pPr>
                  <w:r>
                    <w:rPr>
                      <w:rFonts w:ascii="仿宋_GB2312" w:hAnsi="仿宋_GB2312" w:cs="仿宋_GB2312" w:eastAsia="仿宋_GB2312"/>
                      <w:sz w:val="21"/>
                    </w:rPr>
                    <w:t>3</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45"/>
                    <w:jc w:val="both"/>
                  </w:pPr>
                  <w:r>
                    <w:rPr>
                      <w:rFonts w:ascii="仿宋_GB2312" w:hAnsi="仿宋_GB2312" w:cs="仿宋_GB2312" w:eastAsia="仿宋_GB2312"/>
                      <w:sz w:val="21"/>
                    </w:rPr>
                    <w:t>手术刀柄</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15"/>
                    <w:jc w:val="both"/>
                  </w:pPr>
                  <w:r>
                    <w:rPr>
                      <w:rFonts w:ascii="仿宋_GB2312" w:hAnsi="仿宋_GB2312" w:cs="仿宋_GB2312" w:eastAsia="仿宋_GB2312"/>
                      <w:sz w:val="21"/>
                    </w:rPr>
                    <w:t>14#</w:t>
                  </w: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jc w:val="both"/>
                  </w:pPr>
                  <w:r>
                    <w:rPr>
                      <w:rFonts w:ascii="仿宋_GB2312" w:hAnsi="仿宋_GB2312" w:cs="仿宋_GB2312" w:eastAsia="仿宋_GB2312"/>
                      <w:sz w:val="21"/>
                    </w:rPr>
                    <w:t>个</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1"/>
                    </w:rPr>
                    <w:t>10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45"/>
                    <w:jc w:val="both"/>
                  </w:pPr>
                  <w:r>
                    <w:rPr>
                      <w:rFonts w:ascii="仿宋_GB2312" w:hAnsi="仿宋_GB2312" w:cs="仿宋_GB2312" w:eastAsia="仿宋_GB2312"/>
                      <w:sz w:val="21"/>
                    </w:rPr>
                    <w:t>手术刀片</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0"/>
                    <w:jc w:val="both"/>
                  </w:pPr>
                  <w:r>
                    <w:rPr>
                      <w:rFonts w:ascii="仿宋_GB2312" w:hAnsi="仿宋_GB2312" w:cs="仿宋_GB2312" w:eastAsia="仿宋_GB2312"/>
                      <w:sz w:val="21"/>
                    </w:rPr>
                    <w:t>23#</w:t>
                  </w: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jc w:val="both"/>
                  </w:pPr>
                  <w:r>
                    <w:rPr>
                      <w:rFonts w:ascii="仿宋_GB2312" w:hAnsi="仿宋_GB2312" w:cs="仿宋_GB2312" w:eastAsia="仿宋_GB2312"/>
                      <w:sz w:val="21"/>
                    </w:rPr>
                    <w:t>包</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1"/>
                    </w:rPr>
                    <w:t>10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0"/>
                    <w:jc w:val="both"/>
                  </w:pPr>
                  <w:r>
                    <w:rPr>
                      <w:rFonts w:ascii="仿宋_GB2312" w:hAnsi="仿宋_GB2312" w:cs="仿宋_GB2312" w:eastAsia="仿宋_GB2312"/>
                      <w:sz w:val="21"/>
                    </w:rPr>
                    <w:t>棉签</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包</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1"/>
                    </w:rPr>
                    <w:t>30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65"/>
                    <w:jc w:val="both"/>
                  </w:pPr>
                  <w:r>
                    <w:rPr>
                      <w:rFonts w:ascii="仿宋_GB2312" w:hAnsi="仿宋_GB2312" w:cs="仿宋_GB2312" w:eastAsia="仿宋_GB2312"/>
                      <w:sz w:val="21"/>
                    </w:rPr>
                    <w:t>插线板</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both"/>
                  </w:pPr>
                  <w:r>
                    <w:rPr>
                      <w:rFonts w:ascii="仿宋_GB2312" w:hAnsi="仿宋_GB2312" w:cs="仿宋_GB2312" w:eastAsia="仿宋_GB2312"/>
                      <w:sz w:val="21"/>
                    </w:rPr>
                    <w:t>3</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jc w:val="both"/>
                  </w:pPr>
                  <w:r>
                    <w:rPr>
                      <w:rFonts w:ascii="仿宋_GB2312" w:hAnsi="仿宋_GB2312" w:cs="仿宋_GB2312" w:eastAsia="仿宋_GB2312"/>
                      <w:sz w:val="21"/>
                    </w:rPr>
                    <w:t>脱脂棉</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包</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1"/>
                    </w:rPr>
                    <w:t>20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0"/>
                    <w:jc w:val="both"/>
                  </w:pPr>
                  <w:r>
                    <w:rPr>
                      <w:rFonts w:ascii="仿宋_GB2312" w:hAnsi="仿宋_GB2312" w:cs="仿宋_GB2312" w:eastAsia="仿宋_GB2312"/>
                      <w:sz w:val="21"/>
                    </w:rPr>
                    <w:t>滤纸</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6"/>
                    </w:rPr>
                    <w:t>20</w:t>
                  </w:r>
                  <w:r>
                    <w:rPr>
                      <w:rFonts w:ascii="仿宋_GB2312" w:hAnsi="仿宋_GB2312" w:cs="仿宋_GB2312" w:eastAsia="仿宋_GB2312"/>
                      <w:sz w:val="21"/>
                    </w:rPr>
                    <w:t xml:space="preserve"> </w:t>
                  </w:r>
                  <w:r>
                    <w:rPr>
                      <w:rFonts w:ascii="仿宋_GB2312" w:hAnsi="仿宋_GB2312" w:cs="仿宋_GB2312" w:eastAsia="仿宋_GB2312"/>
                      <w:sz w:val="16"/>
                    </w:rPr>
                    <w:t>张</w:t>
                  </w: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jc w:val="both"/>
                  </w:pPr>
                  <w:r>
                    <w:rPr>
                      <w:rFonts w:ascii="仿宋_GB2312" w:hAnsi="仿宋_GB2312" w:cs="仿宋_GB2312" w:eastAsia="仿宋_GB2312"/>
                      <w:sz w:val="21"/>
                    </w:rPr>
                    <w:t>盒</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1"/>
                    </w:rPr>
                    <w:t>50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60"/>
                    <w:jc w:val="both"/>
                  </w:pPr>
                  <w:r>
                    <w:rPr>
                      <w:rFonts w:ascii="仿宋_GB2312" w:hAnsi="仿宋_GB2312" w:cs="仿宋_GB2312" w:eastAsia="仿宋_GB2312"/>
                      <w:sz w:val="21"/>
                    </w:rPr>
                    <w:t>古法麻纸</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刀</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1"/>
                    </w:rPr>
                    <w:t>10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0"/>
                    <w:jc w:val="both"/>
                  </w:pPr>
                  <w:r>
                    <w:rPr>
                      <w:rFonts w:ascii="仿宋_GB2312" w:hAnsi="仿宋_GB2312" w:cs="仿宋_GB2312" w:eastAsia="仿宋_GB2312"/>
                      <w:sz w:val="21"/>
                    </w:rPr>
                    <w:t>毛笔</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根</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1"/>
                    </w:rPr>
                    <w:t>10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45"/>
                    <w:jc w:val="both"/>
                  </w:pPr>
                  <w:r>
                    <w:rPr>
                      <w:rFonts w:ascii="仿宋_GB2312" w:hAnsi="仿宋_GB2312" w:cs="仿宋_GB2312" w:eastAsia="仿宋_GB2312"/>
                      <w:sz w:val="21"/>
                    </w:rPr>
                    <w:t>矿物颜料</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组</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75"/>
                    <w:jc w:val="both"/>
                  </w:pPr>
                  <w:r>
                    <w:rPr>
                      <w:rFonts w:ascii="仿宋_GB2312" w:hAnsi="仿宋_GB2312" w:cs="仿宋_GB2312" w:eastAsia="仿宋_GB2312"/>
                      <w:sz w:val="16"/>
                    </w:rPr>
                    <w:t>10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55"/>
                    <w:jc w:val="both"/>
                  </w:pPr>
                  <w:r>
                    <w:rPr>
                      <w:rFonts w:ascii="仿宋_GB2312" w:hAnsi="仿宋_GB2312" w:cs="仿宋_GB2312" w:eastAsia="仿宋_GB2312"/>
                      <w:sz w:val="21"/>
                    </w:rPr>
                    <w:t>B72</w:t>
                  </w:r>
                  <w:r>
                    <w:rPr>
                      <w:rFonts w:ascii="仿宋_GB2312" w:hAnsi="仿宋_GB2312" w:cs="仿宋_GB2312" w:eastAsia="仿宋_GB2312"/>
                      <w:sz w:val="21"/>
                    </w:rPr>
                    <w:t xml:space="preserve"> </w:t>
                  </w:r>
                  <w:r>
                    <w:rPr>
                      <w:rFonts w:ascii="仿宋_GB2312" w:hAnsi="仿宋_GB2312" w:cs="仿宋_GB2312" w:eastAsia="仿宋_GB2312"/>
                      <w:sz w:val="21"/>
                    </w:rPr>
                    <w:t>加固剂</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克</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85"/>
                    <w:jc w:val="both"/>
                  </w:pPr>
                  <w:r>
                    <w:rPr>
                      <w:rFonts w:ascii="仿宋_GB2312" w:hAnsi="仿宋_GB2312" w:cs="仿宋_GB2312" w:eastAsia="仿宋_GB2312"/>
                      <w:sz w:val="21"/>
                    </w:rPr>
                    <w:t>200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jc w:val="both"/>
                  </w:pPr>
                  <w:r>
                    <w:rPr>
                      <w:rFonts w:ascii="仿宋_GB2312" w:hAnsi="仿宋_GB2312" w:cs="仿宋_GB2312" w:eastAsia="仿宋_GB2312"/>
                      <w:sz w:val="21"/>
                    </w:rPr>
                    <w:t>牙科蜡片</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盒</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1"/>
                    </w:rPr>
                    <w:t>30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both"/>
                  </w:pPr>
                  <w:r>
                    <w:rPr>
                      <w:rFonts w:ascii="仿宋_GB2312" w:hAnsi="仿宋_GB2312" w:cs="仿宋_GB2312" w:eastAsia="仿宋_GB2312"/>
                      <w:sz w:val="21"/>
                    </w:rPr>
                    <w:t>牙科石膏</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袋</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15"/>
                    <w:jc w:val="both"/>
                  </w:pPr>
                  <w:r>
                    <w:rPr>
                      <w:rFonts w:ascii="仿宋_GB2312" w:hAnsi="仿宋_GB2312" w:cs="仿宋_GB2312" w:eastAsia="仿宋_GB2312"/>
                      <w:sz w:val="21"/>
                    </w:rPr>
                    <w:t>100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both"/>
                  </w:pPr>
                  <w:r>
                    <w:rPr>
                      <w:rFonts w:ascii="仿宋_GB2312" w:hAnsi="仿宋_GB2312" w:cs="仿宋_GB2312" w:eastAsia="仿宋_GB2312"/>
                      <w:sz w:val="21"/>
                    </w:rPr>
                    <w:t>硅胶</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both"/>
                  </w:pPr>
                  <w:r>
                    <w:rPr>
                      <w:rFonts w:ascii="仿宋_GB2312" w:hAnsi="仿宋_GB2312" w:cs="仿宋_GB2312" w:eastAsia="仿宋_GB2312"/>
                      <w:sz w:val="21"/>
                    </w:rPr>
                    <w:t>5kg</w:t>
                  </w: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jc w:val="both"/>
                  </w:pPr>
                  <w:r>
                    <w:rPr>
                      <w:rFonts w:ascii="仿宋_GB2312" w:hAnsi="仿宋_GB2312" w:cs="仿宋_GB2312" w:eastAsia="仿宋_GB2312"/>
                      <w:sz w:val="21"/>
                    </w:rPr>
                    <w:t>桶</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left"/>
                  </w:pPr>
                  <w:r>
                    <w:rPr>
                      <w:rFonts w:ascii="仿宋_GB2312" w:hAnsi="仿宋_GB2312" w:cs="仿宋_GB2312" w:eastAsia="仿宋_GB2312"/>
                      <w:sz w:val="21"/>
                    </w:rPr>
                    <w:t>2</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both"/>
                  </w:pPr>
                  <w:r>
                    <w:rPr>
                      <w:rFonts w:ascii="仿宋_GB2312" w:hAnsi="仿宋_GB2312" w:cs="仿宋_GB2312" w:eastAsia="仿宋_GB2312"/>
                      <w:sz w:val="21"/>
                    </w:rPr>
                    <w:t>脱模剂</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桶</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left"/>
                  </w:pPr>
                  <w:r>
                    <w:rPr>
                      <w:rFonts w:ascii="仿宋_GB2312" w:hAnsi="仿宋_GB2312" w:cs="仿宋_GB2312" w:eastAsia="仿宋_GB2312"/>
                      <w:sz w:val="21"/>
                    </w:rPr>
                    <w:t>2</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80"/>
                    <w:jc w:val="both"/>
                  </w:pPr>
                  <w:r>
                    <w:rPr>
                      <w:rFonts w:ascii="仿宋_GB2312" w:hAnsi="仿宋_GB2312" w:cs="仿宋_GB2312" w:eastAsia="仿宋_GB2312"/>
                      <w:sz w:val="21"/>
                    </w:rPr>
                    <w:t>蒸馏水</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桶</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left"/>
                  </w:pPr>
                  <w:r>
                    <w:rPr>
                      <w:rFonts w:ascii="仿宋_GB2312" w:hAnsi="仿宋_GB2312" w:cs="仿宋_GB2312" w:eastAsia="仿宋_GB2312"/>
                      <w:sz w:val="21"/>
                    </w:rPr>
                    <w:t>40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25"/>
                    <w:jc w:val="both"/>
                  </w:pPr>
                  <w:r>
                    <w:rPr>
                      <w:rFonts w:ascii="仿宋_GB2312" w:hAnsi="仿宋_GB2312" w:cs="仿宋_GB2312" w:eastAsia="仿宋_GB2312"/>
                      <w:sz w:val="21"/>
                    </w:rPr>
                    <w:t>AC-33</w:t>
                  </w:r>
                  <w:r>
                    <w:rPr>
                      <w:rFonts w:ascii="仿宋_GB2312" w:hAnsi="仿宋_GB2312" w:cs="仿宋_GB2312" w:eastAsia="仿宋_GB2312"/>
                      <w:sz w:val="21"/>
                    </w:rPr>
                    <w:t xml:space="preserve"> </w:t>
                  </w:r>
                  <w:r>
                    <w:rPr>
                      <w:rFonts w:ascii="仿宋_GB2312" w:hAnsi="仿宋_GB2312" w:cs="仿宋_GB2312" w:eastAsia="仿宋_GB2312"/>
                      <w:sz w:val="21"/>
                    </w:rPr>
                    <w:t>乳液</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斤</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left"/>
                  </w:pPr>
                  <w:r>
                    <w:rPr>
                      <w:rFonts w:ascii="仿宋_GB2312" w:hAnsi="仿宋_GB2312" w:cs="仿宋_GB2312" w:eastAsia="仿宋_GB2312"/>
                      <w:sz w:val="21"/>
                    </w:rPr>
                    <w:t>1</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75"/>
                    <w:jc w:val="both"/>
                  </w:pPr>
                  <w:r>
                    <w:rPr>
                      <w:rFonts w:ascii="仿宋_GB2312" w:hAnsi="仿宋_GB2312" w:cs="仿宋_GB2312" w:eastAsia="仿宋_GB2312"/>
                      <w:sz w:val="21"/>
                    </w:rPr>
                    <w:t>乙醇</w:t>
                  </w:r>
                  <w:r>
                    <w:rPr>
                      <w:rFonts w:ascii="仿宋_GB2312" w:hAnsi="仿宋_GB2312" w:cs="仿宋_GB2312" w:eastAsia="仿宋_GB2312"/>
                      <w:sz w:val="21"/>
                    </w:rPr>
                    <w:t>(AR)</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瓶</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left"/>
                  </w:pPr>
                  <w:r>
                    <w:rPr>
                      <w:rFonts w:ascii="仿宋_GB2312" w:hAnsi="仿宋_GB2312" w:cs="仿宋_GB2312" w:eastAsia="仿宋_GB2312"/>
                      <w:sz w:val="21"/>
                    </w:rPr>
                    <w:t>20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right="345"/>
                    <w:jc w:val="both"/>
                  </w:pPr>
                  <w:r>
                    <w:rPr>
                      <w:rFonts w:ascii="仿宋_GB2312" w:hAnsi="仿宋_GB2312" w:cs="仿宋_GB2312" w:eastAsia="仿宋_GB2312"/>
                      <w:sz w:val="21"/>
                    </w:rPr>
                    <w:t>乙酸乙酯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AR）</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瓶</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left"/>
                  </w:pPr>
                  <w:r>
                    <w:rPr>
                      <w:rFonts w:ascii="仿宋_GB2312" w:hAnsi="仿宋_GB2312" w:cs="仿宋_GB2312" w:eastAsia="仿宋_GB2312"/>
                      <w:sz w:val="21"/>
                    </w:rPr>
                    <w:t>20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0" w:right="135"/>
                    <w:jc w:val="both"/>
                  </w:pPr>
                  <w:r>
                    <w:rPr>
                      <w:rFonts w:ascii="仿宋_GB2312" w:hAnsi="仿宋_GB2312" w:cs="仿宋_GB2312" w:eastAsia="仿宋_GB2312"/>
                      <w:sz w:val="21"/>
                    </w:rPr>
                    <w:t>AAA</w:t>
                  </w:r>
                  <w:r>
                    <w:rPr>
                      <w:rFonts w:ascii="仿宋_GB2312" w:hAnsi="仿宋_GB2312" w:cs="仿宋_GB2312" w:eastAsia="仿宋_GB2312"/>
                      <w:sz w:val="21"/>
                    </w:rPr>
                    <w:t xml:space="preserve"> </w:t>
                  </w:r>
                  <w:r>
                    <w:rPr>
                      <w:rFonts w:ascii="仿宋_GB2312" w:hAnsi="仿宋_GB2312" w:cs="仿宋_GB2312" w:eastAsia="仿宋_GB2312"/>
                      <w:sz w:val="21"/>
                    </w:rPr>
                    <w:t>牌环氧树</w:t>
                  </w:r>
                  <w:r>
                    <w:rPr>
                      <w:rFonts w:ascii="仿宋_GB2312" w:hAnsi="仿宋_GB2312" w:cs="仿宋_GB2312" w:eastAsia="仿宋_GB2312"/>
                      <w:sz w:val="21"/>
                    </w:rPr>
                    <w:t xml:space="preserve"> </w:t>
                  </w:r>
                  <w:r>
                    <w:rPr>
                      <w:rFonts w:ascii="仿宋_GB2312" w:hAnsi="仿宋_GB2312" w:cs="仿宋_GB2312" w:eastAsia="仿宋_GB2312"/>
                      <w:sz w:val="21"/>
                    </w:rPr>
                    <w:t>脂胶</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盒</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left"/>
                  </w:pPr>
                  <w:r>
                    <w:rPr>
                      <w:rFonts w:ascii="仿宋_GB2312" w:hAnsi="仿宋_GB2312" w:cs="仿宋_GB2312" w:eastAsia="仿宋_GB2312"/>
                      <w:sz w:val="21"/>
                    </w:rPr>
                    <w:t>100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05" w:right="135"/>
                    <w:jc w:val="both"/>
                  </w:pPr>
                  <w:r>
                    <w:rPr>
                      <w:rFonts w:ascii="仿宋_GB2312" w:hAnsi="仿宋_GB2312" w:cs="仿宋_GB2312" w:eastAsia="仿宋_GB2312"/>
                      <w:sz w:val="21"/>
                    </w:rPr>
                    <w:t>402</w:t>
                  </w:r>
                  <w:r>
                    <w:rPr>
                      <w:rFonts w:ascii="仿宋_GB2312" w:hAnsi="仿宋_GB2312" w:cs="仿宋_GB2312" w:eastAsia="仿宋_GB2312"/>
                      <w:sz w:val="21"/>
                    </w:rPr>
                    <w:t xml:space="preserve"> </w:t>
                  </w:r>
                  <w:r>
                    <w:rPr>
                      <w:rFonts w:ascii="仿宋_GB2312" w:hAnsi="仿宋_GB2312" w:cs="仿宋_GB2312" w:eastAsia="仿宋_GB2312"/>
                      <w:sz w:val="21"/>
                    </w:rPr>
                    <w:t>树脂胶黏</w:t>
                  </w:r>
                  <w:r>
                    <w:rPr>
                      <w:rFonts w:ascii="仿宋_GB2312" w:hAnsi="仿宋_GB2312" w:cs="仿宋_GB2312" w:eastAsia="仿宋_GB2312"/>
                      <w:sz w:val="21"/>
                    </w:rPr>
                    <w:t xml:space="preserve"> </w:t>
                  </w:r>
                  <w:r>
                    <w:rPr>
                      <w:rFonts w:ascii="仿宋_GB2312" w:hAnsi="仿宋_GB2312" w:cs="仿宋_GB2312" w:eastAsia="仿宋_GB2312"/>
                      <w:sz w:val="21"/>
                    </w:rPr>
                    <w:t>剂</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瓶</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45"/>
                    <w:jc w:val="both"/>
                  </w:pPr>
                  <w:r>
                    <w:rPr>
                      <w:rFonts w:ascii="仿宋_GB2312" w:hAnsi="仿宋_GB2312" w:cs="仿宋_GB2312" w:eastAsia="仿宋_GB2312"/>
                      <w:sz w:val="21"/>
                    </w:rPr>
                    <w:t>50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1"/>
                    </w:rPr>
                    <w:t>柠檬酸（</w:t>
                  </w:r>
                  <w:r>
                    <w:rPr>
                      <w:rFonts w:ascii="仿宋_GB2312" w:hAnsi="仿宋_GB2312" w:cs="仿宋_GB2312" w:eastAsia="仿宋_GB2312"/>
                      <w:sz w:val="21"/>
                    </w:rPr>
                    <w:t>AR）</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瓶</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05"/>
                    <w:jc w:val="both"/>
                  </w:pPr>
                  <w:r>
                    <w:rPr>
                      <w:rFonts w:ascii="仿宋_GB2312" w:hAnsi="仿宋_GB2312" w:cs="仿宋_GB2312" w:eastAsia="仿宋_GB2312"/>
                      <w:sz w:val="21"/>
                    </w:rPr>
                    <w:t>5</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85"/>
                    <w:jc w:val="both"/>
                  </w:pPr>
                  <w:r>
                    <w:rPr>
                      <w:rFonts w:ascii="仿宋_GB2312" w:hAnsi="仿宋_GB2312" w:cs="仿宋_GB2312" w:eastAsia="仿宋_GB2312"/>
                      <w:sz w:val="21"/>
                    </w:rPr>
                    <w:t>囊匣</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1"/>
                    </w:rPr>
                    <w:t>80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40"/>
                    <w:jc w:val="both"/>
                  </w:pPr>
                  <w:r>
                    <w:rPr>
                      <w:rFonts w:ascii="仿宋_GB2312" w:hAnsi="仿宋_GB2312" w:cs="仿宋_GB2312" w:eastAsia="仿宋_GB2312"/>
                      <w:sz w:val="21"/>
                    </w:rPr>
                    <w:t>丙酮（</w:t>
                  </w:r>
                  <w:r>
                    <w:rPr>
                      <w:rFonts w:ascii="仿宋_GB2312" w:hAnsi="仿宋_GB2312" w:cs="仿宋_GB2312" w:eastAsia="仿宋_GB2312"/>
                      <w:sz w:val="21"/>
                    </w:rPr>
                    <w:t>AR）</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瓶</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1"/>
                    </w:rPr>
                    <w:t>50</w:t>
                  </w:r>
                </w:p>
              </w:tc>
            </w:tr>
            <w:tr>
              <w:tc>
                <w:tcPr>
                  <w:tcW w:type="dxa" w:w="14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80"/>
                    <w:jc w:val="both"/>
                  </w:pPr>
                  <w:r>
                    <w:rPr>
                      <w:rFonts w:ascii="仿宋_GB2312" w:hAnsi="仿宋_GB2312" w:cs="仿宋_GB2312" w:eastAsia="仿宋_GB2312"/>
                      <w:sz w:val="21"/>
                    </w:rPr>
                    <w:t>软毛刷</w:t>
                  </w:r>
                </w:p>
              </w:tc>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60"/>
                    <w:jc w:val="both"/>
                  </w:pPr>
                  <w:r>
                    <w:rPr>
                      <w:rFonts w:ascii="仿宋_GB2312" w:hAnsi="仿宋_GB2312" w:cs="仿宋_GB2312" w:eastAsia="仿宋_GB2312"/>
                      <w:sz w:val="21"/>
                    </w:rPr>
                    <w:t>6#</w:t>
                  </w:r>
                </w:p>
              </w:tc>
              <w:tc>
                <w:tcPr>
                  <w:tcW w:type="dxa" w:w="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jc w:val="both"/>
                  </w:pPr>
                  <w:r>
                    <w:rPr>
                      <w:rFonts w:ascii="仿宋_GB2312" w:hAnsi="仿宋_GB2312" w:cs="仿宋_GB2312" w:eastAsia="仿宋_GB2312"/>
                      <w:sz w:val="21"/>
                    </w:rPr>
                    <w:t>把</w:t>
                  </w:r>
                </w:p>
              </w:tc>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1"/>
                    </w:rPr>
                    <w:t>20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预修复文物现状</w:t>
            </w:r>
            <w:r>
              <w:rPr>
                <w:rFonts w:ascii="仿宋_GB2312" w:hAnsi="仿宋_GB2312" w:cs="仿宋_GB2312" w:eastAsia="仿宋_GB2312"/>
              </w:rPr>
              <w:t>（</w:t>
            </w:r>
            <w:r>
              <w:rPr>
                <w:rFonts w:ascii="仿宋_GB2312" w:hAnsi="仿宋_GB2312" w:cs="仿宋_GB2312" w:eastAsia="仿宋_GB2312"/>
              </w:rPr>
              <w:t>部分）</w:t>
            </w:r>
          </w:p>
          <w:p>
            <w:pPr>
              <w:pStyle w:val="null3"/>
            </w:pPr>
            <w:r>
              <w:drawing>
                <wp:inline distT="0" distR="0" distB="0" distL="0">
                  <wp:extent cx="1621155" cy="108375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83755"/>
                          </a:xfrm>
                          <a:prstGeom prst="rect">
                            <a:avLst/>
                          </a:prstGeom>
                        </pic:spPr>
                      </pic:pic>
                    </a:graphicData>
                  </a:graphic>
                </wp:inline>
              </w:drawing>
            </w:r>
            <w:r>
              <w:drawing>
                <wp:inline distT="0" distR="0" distB="0" distL="0">
                  <wp:extent cx="1621155" cy="108661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086612"/>
                          </a:xfrm>
                          <a:prstGeom prst="rect">
                            <a:avLst/>
                          </a:prstGeom>
                        </pic:spPr>
                      </pic:pic>
                    </a:graphicData>
                  </a:graphic>
                </wp:inline>
              </w:drawing>
            </w:r>
          </w:p>
          <w:p>
            <w:pPr>
              <w:pStyle w:val="null3"/>
            </w:pPr>
            <w:r>
              <w:drawing>
                <wp:inline distT="0" distR="0" distB="0" distL="0">
                  <wp:extent cx="1543050" cy="122872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543050" cy="1228725"/>
                          </a:xfrm>
                          <a:prstGeom prst="rect">
                            <a:avLst/>
                          </a:prstGeom>
                        </pic:spPr>
                      </pic:pic>
                    </a:graphicData>
                  </a:graphic>
                </wp:inline>
              </w:drawing>
            </w:r>
            <w:r>
              <w:drawing>
                <wp:inline distT="0" distR="0" distB="0" distL="0">
                  <wp:extent cx="1466850" cy="133350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466850" cy="1333500"/>
                          </a:xfrm>
                          <a:prstGeom prst="rect">
                            <a:avLst/>
                          </a:prstGeom>
                        </pic:spPr>
                      </pic:pic>
                    </a:graphicData>
                  </a:graphic>
                </wp:inline>
              </w:drawing>
            </w:r>
          </w:p>
          <w:p>
            <w:pPr>
              <w:pStyle w:val="null3"/>
              <w:jc w:val="both"/>
            </w:pPr>
            <w:r>
              <w:rPr>
                <w:rFonts w:ascii="仿宋_GB2312" w:hAnsi="仿宋_GB2312" w:cs="仿宋_GB2312" w:eastAsia="仿宋_GB2312"/>
                <w:sz w:val="21"/>
                <w:b/>
              </w:rPr>
              <w:t xml:space="preserve">内袍纹饰            </w:t>
            </w:r>
            <w:r>
              <w:rPr>
                <w:rFonts w:ascii="仿宋_GB2312" w:hAnsi="仿宋_GB2312" w:cs="仿宋_GB2312" w:eastAsia="仿宋_GB2312"/>
                <w:sz w:val="21"/>
                <w:b/>
              </w:rPr>
              <w:t>头饰彩绘</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（1）修复地点：成交单位所在地。 （2）供应商需具备安全可靠的存藏条件及独立可靠的文物修复场所，保障项目文物安全。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签订合同后365日历天内完成工作。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成交单位所在地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按竞争性磋商文件、响应文件等服务指标进行逐项验收，各项指标均应符合验收标准及要求。验收方法见采购文件合同附件。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预付款于合同签订后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文物完成初步比对拼接，并通过中期验收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项目完毕经甲方验收合格后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提供2023年度或2024年度经审计的财务会计报告（成立时间至提交响应文件截止时间不足一年的可提供成立后任意时段的资产负债表）； 或其递交响应文件截止之日前三个月内基本开户银行出具的资信证明。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无重大违纪书面声明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失信”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供应商须具备省级文物行政部门颁发的《可移动文物修复资质证书》（业务范围包含陶器）。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报价表 响应文件封面 分项报价表.docx 供应商应提交的相关资格证明材料.docx 残疾人福利性单位声明函 拒绝政府采购领域商业贿赂承诺书.docx 标的清单 服务要求响应偏离表.docx 商务要求响应偏离表.docx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只能有一个有效报价，不得提交选择性报价。按要求提交二次或多次报价，且每轮报价不超过最高限价或磋商小组认为低于成本价的报价。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满足磋商文件中要求的商务要求。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磋商文件规定的其他无效情形。</w:t>
            </w:r>
          </w:p>
        </w:tc>
        <w:tc>
          <w:tcPr>
            <w:tcW w:type="dxa" w:w="1661"/>
          </w:tcPr>
          <w:p>
            <w:pPr>
              <w:pStyle w:val="null3"/>
            </w:pPr>
            <w:r>
              <w:rPr>
                <w:rFonts w:ascii="仿宋_GB2312" w:hAnsi="仿宋_GB2312" w:cs="仿宋_GB2312" w:eastAsia="仿宋_GB2312"/>
              </w:rPr>
              <w:t>中小企业声明函 报价表 响应文件封面 分项报价表.docx 供应商应提交的相关资格证明材料.docx 残疾人福利性单位声明函 拒绝政府采购领域商业贿赂承诺书.docx 标的清单 服务要求响应偏离表.docx 商务要求响应偏离表.docx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一、评审内容 供应商针对本项目得理解程度，内容包含：①项目理解②工作思路③工作原则。 二、评审标准 1、完整性：方案必须全面，对评审内容中的各项要求有详细描述； 2、可实施性：切合本项目实际情况，提出步骤清晰、合理的方案； 3、针对性：方案能够紧扣项目实际情况，内容科学合理。 三、赋分标准（满分9分）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供应商针对本项目提供项目实施方案，内容包含：①清理；②补配修复；③色彩加固；④档案记录，⑤修复后文物保存方案。 二、评审标准 1、完整性：方案必须全面，对评审内容中的各项要求有详细描述； 2、可实施性：切合本项目实际情况，提出步骤清晰、合理的方案； 三、赋分标准（满分20分） 每个评审项满分4分，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供应商针对本项目提供服务质量保障措施，内容包含：①质量目标管理体系②确保服务质量的组织措施；③服务质量承诺。 二、评审标准 1、完整性：方案必须全面，对评审内容中的各项要求有详细描述； 2、可实施性：切合本项目实际情况，提出步骤清晰、合理的方案； 3、针对性：方案能够紧扣项目实际情况，内容科学合理。 三、赋分标准（满分9分）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供应商针对本项目提供进度计划保障措施，内容包含：①进度计划安排；②进度保障措施。 二、评审标准 1、计划性：计划必须全面，对评审内容中的各项工作均有详细安排； 2、针对性：计划能够紧扣项目实际情况，内容科学合理，并预留出突发情况响应时间。 三、赋分标准（满分8分） 每个评审项满分4分，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有完整的内部管理制度：①人员管理制度：具有员工日常管理办法、考勤管理；②服务自检制度。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安全保障措施与应急处理预案</w:t>
            </w:r>
          </w:p>
        </w:tc>
        <w:tc>
          <w:tcPr>
            <w:tcW w:type="dxa" w:w="2492"/>
          </w:tcPr>
          <w:p>
            <w:pPr>
              <w:pStyle w:val="null3"/>
            </w:pPr>
            <w:r>
              <w:rPr>
                <w:rFonts w:ascii="仿宋_GB2312" w:hAnsi="仿宋_GB2312" w:cs="仿宋_GB2312" w:eastAsia="仿宋_GB2312"/>
              </w:rPr>
              <w:t>一、评审内容 针对本项目文物提出适用于本项目的安全保障方案及应急处理预案，内容包括：①安全保障方案，包含人防物防技防等方面；②设立突发事件应急处理预案，以应对突发情况。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 针对本项目提出适用于本项目的服务承诺及合理化建议，内容包括：①服务承诺；②结合类似项目经验，提出有利于采购人的合理化建议。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供应商针对本项目拟投入人员进行评审： （1）拟派项目负责人：具有文物博物类相关专业高级职称计2分，中级职称计1分，不提供不计分。 （2）提供与本项目相关专业人员证书，每提供1人，得1分，最高3分，不提供不计分。 （3）根据供应商拟投入本项目人员合计数量排名，总数综合最多得12分，依次递减2分，扣完为止。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提供供应商2021年1月1日至今类似项目业绩（以合同签订日期为准，附合同关键页），每提供1个得3分，最高得9分。 备注：响应文件中提供合同复印件加盖公章。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详见附件：服务要求响应偏离表.docx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详见附件：文物修复合同文本.docx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