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版本号：SXWXZBDL2025-ZC-TP100320250514001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2025年种公牛选育及培育项目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SXWXZBDL2025-ZC-TP1003</w:t>
      </w:r>
      <w:r>
        <w:br/>
      </w:r>
      <w:r>
        <w:br/>
      </w:r>
      <w:r>
        <w:br/>
      </w:r>
    </w:p>
    <w:p>
      <w:pPr>
        <w:pStyle w:val="null3"/>
        <w:jc w:val="center"/>
        <w:outlineLvl w:val="2"/>
      </w:pPr>
      <w:r>
        <w:rPr>
          <w:rFonts w:ascii="仿宋_GB2312" w:hAnsi="仿宋_GB2312" w:cs="仿宋_GB2312" w:eastAsia="仿宋_GB2312"/>
          <w:sz w:val="28"/>
          <w:b/>
        </w:rPr>
        <w:t>西安市畜牧技术推广中心</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西安市畜牧技术推广中心</w:t>
      </w:r>
      <w:r>
        <w:rPr>
          <w:rFonts w:ascii="仿宋_GB2312" w:hAnsi="仿宋_GB2312" w:cs="仿宋_GB2312" w:eastAsia="仿宋_GB2312"/>
        </w:rPr>
        <w:t>委托，拟对</w:t>
      </w:r>
      <w:r>
        <w:rPr>
          <w:rFonts w:ascii="仿宋_GB2312" w:hAnsi="仿宋_GB2312" w:cs="仿宋_GB2312" w:eastAsia="仿宋_GB2312"/>
        </w:rPr>
        <w:t>2025年种公牛选育及培育项目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SXWXZBDL2025-ZC-TP1003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2025年种公牛选育及培育项目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采购饲料、饲草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采购包1（2025年种公牛选育及培育项目1包）：属于专门面向中小企业采购。</w:t>
      </w:r>
    </w:p>
    <w:p>
      <w:pPr>
        <w:pStyle w:val="null3"/>
      </w:pPr>
      <w:r>
        <w:rPr>
          <w:rFonts w:ascii="仿宋_GB2312" w:hAnsi="仿宋_GB2312" w:cs="仿宋_GB2312" w:eastAsia="仿宋_GB2312"/>
        </w:rPr>
        <w:t>采购包2（2025年种公牛选育及培育项目2包）：属于专门面向中小企业采购。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2、授权委托书：法定代表人参加投标的，须提供本人身份证加盖公章的复印件；法定代表人授权他人参加投标的，须提供法定代表人授权委托书及被授权代表的身份证复印件。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提供2023年度或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pPr>
        <w:pStyle w:val="null3"/>
      </w:pPr>
      <w:r>
        <w:rPr>
          <w:rFonts w:ascii="仿宋_GB2312" w:hAnsi="仿宋_GB2312" w:cs="仿宋_GB2312" w:eastAsia="仿宋_GB2312"/>
        </w:rPr>
        <w:t>4、社会保障资金缴纳证明：提供供应商2024年1月1日以来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5、税收缴纳证明：提供供应商2024年1月1日以来至少一个月已缴纳的增值税纳税证明或完税证明，依法免税的供应商应提供加盖公章的相关证明文件。</w:t>
      </w:r>
    </w:p>
    <w:p>
      <w:pPr>
        <w:pStyle w:val="null3"/>
      </w:pPr>
      <w:r>
        <w:rPr>
          <w:rFonts w:ascii="仿宋_GB2312" w:hAnsi="仿宋_GB2312" w:cs="仿宋_GB2312" w:eastAsia="仿宋_GB2312"/>
        </w:rPr>
        <w:t>6、履行合同所必需的设备和专业技术能力：具备履行合同所必需的设备和专业技术能力的证明材料(由供应商根据项目需求提供说明材料或者承诺)。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7、信用查询：参加本次政府采购活动的供应商在经营活动中未被列入“中国执行信息公开网”（http://zxgk.court.gov.cn/shixin/）失信被执行人名单、“信用中国”网站（www.creditchina.gov.cn）重大税收违法失信主体、“中国政府采购网”（www.ccgp.gov.cn）政府采购严重违法失信行为记录名单。开标评审将登陆“信用中国”网站（www.creditchina.gov.cn）、“中国政府采购网”（www.ccgp.gov.cn）、中国执行信息公开网”（http://zxgk.court.gov.cn/shixin/）进行审查。</w:t>
      </w:r>
    </w:p>
    <w:p>
      <w:pPr>
        <w:pStyle w:val="null3"/>
      </w:pPr>
      <w:r>
        <w:rPr>
          <w:rFonts w:ascii="仿宋_GB2312" w:hAnsi="仿宋_GB2312" w:cs="仿宋_GB2312" w:eastAsia="仿宋_GB2312"/>
        </w:rPr>
        <w:t>8、控股、管理关系：单位负责人为同一人或者存在控股、管理关系的不同单位不得同时参加同一项目投标。</w:t>
      </w:r>
    </w:p>
    <w:p>
      <w:pPr>
        <w:pStyle w:val="null3"/>
      </w:pPr>
      <w:r>
        <w:rPr>
          <w:rFonts w:ascii="仿宋_GB2312" w:hAnsi="仿宋_GB2312" w:cs="仿宋_GB2312" w:eastAsia="仿宋_GB2312"/>
        </w:rPr>
        <w:t>9、业绩：响应供应商须提供2022年1月1日至响应文件递交截止时间至少一项与本合同包类似相关业绩（提供中标通知书或合同协议书复印件并加盖单位公章）。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1、响应主体：响应供应商需提供有效合格的具有统一社会信用代码的营业执照，其他组织经营的须提供合法凭证，自然人提供身份证明文件。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2、授权委托书：法定代表人参加投标的，须提供本人身份证加盖公章的复印件；法定代表人授权他人参加投标的，须提供法定代表人授权委托书及被授权代表的身份证复印件。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提供2023年度或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pPr>
        <w:pStyle w:val="null3"/>
      </w:pPr>
      <w:r>
        <w:rPr>
          <w:rFonts w:ascii="仿宋_GB2312" w:hAnsi="仿宋_GB2312" w:cs="仿宋_GB2312" w:eastAsia="仿宋_GB2312"/>
        </w:rPr>
        <w:t>4、社会保障资金缴纳证明：提供供应商2024年1月1日以来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5、税收缴纳证明：提供供应商2024年1月1日以来至少一个月已缴纳的增值税纳税证明或完税证明，依法免税的供应商应提供加盖公章的相关证明文件。</w:t>
      </w:r>
    </w:p>
    <w:p>
      <w:pPr>
        <w:pStyle w:val="null3"/>
      </w:pPr>
      <w:r>
        <w:rPr>
          <w:rFonts w:ascii="仿宋_GB2312" w:hAnsi="仿宋_GB2312" w:cs="仿宋_GB2312" w:eastAsia="仿宋_GB2312"/>
        </w:rPr>
        <w:t>6、履行合同所必需的设备和专业技术能力：具备履行合同所必需的设备和专业技术能力的证明材料(由供应商根据项目需求提供说明材料或者承诺)。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7、信用查询：参加本次政府采购活动的供应商在经营活动中未被列入“中国执行信息公开网”（http://zxgk.court.gov.cn/shixin/）失信被执行人名单、“信用中国”网站（www.creditchina.gov.cn）重大税收违法失信主体、“中国政府采购网”（www.ccgp.gov.cn）政府采购严重违法失信行为记录名单。开标评审将登陆“信用中国”网站（www.creditchina.gov.cn）、“中国政府采购网”（www.ccgp.gov.cn）、中国执行信息公开网”（http://zxgk.court.gov.cn/shixin/）进行审查。</w:t>
      </w:r>
    </w:p>
    <w:p>
      <w:pPr>
        <w:pStyle w:val="null3"/>
      </w:pPr>
      <w:r>
        <w:rPr>
          <w:rFonts w:ascii="仿宋_GB2312" w:hAnsi="仿宋_GB2312" w:cs="仿宋_GB2312" w:eastAsia="仿宋_GB2312"/>
        </w:rPr>
        <w:t>8、控股、管理关系：单位负责人为同一人或者存在控股、管理关系的不同单位不得同时参加同一项目投标。</w:t>
      </w:r>
    </w:p>
    <w:p>
      <w:pPr>
        <w:pStyle w:val="null3"/>
      </w:pPr>
      <w:r>
        <w:rPr>
          <w:rFonts w:ascii="仿宋_GB2312" w:hAnsi="仿宋_GB2312" w:cs="仿宋_GB2312" w:eastAsia="仿宋_GB2312"/>
        </w:rPr>
        <w:t>9、业绩：响应供应商须提供2022年1月1日至响应文件递交截止时间至少一项与本合同包类似相关业绩（提供中标通知书或合同协议书复印件并加盖单位公章）。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西安市畜牧技术推广中心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15009208406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陕西省西安市莲湖区陕西省西安市莲湖区北关正街35号方兴大厦1幢1单元10402-4-018室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13080906068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采购包1：610,000.00元</w:t>
            </w:r>
          </w:p>
          <w:p>
            <w:pPr>
              <w:pStyle w:val="null3"/>
            </w:pPr>
            <w:r>
              <w:rPr>
                <w:rFonts w:ascii="仿宋_GB2312" w:hAnsi="仿宋_GB2312" w:cs="仿宋_GB2312" w:eastAsia="仿宋_GB2312"/>
              </w:rPr>
              <w:t>采购包2：880,000.00元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执行标准按招标代理合同约定收取。 合同包1（饲料）招标代理服务费为：0.915万元 合同包2（饲草）招标代理服务费为：1.32万元 招标代理服务费收费账户： 户名：陕西万兴招标代理有限公司 开户行：北京银行股份有限公司西安大明宫支行 账号：2000 0034 4675 0001 6437 653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西安市畜牧技术推广中心</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西安市畜牧技术推广中心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西安市畜牧技术推广中心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陕西万兴招标代理有限公司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联系电话：13080906068</w:t>
      </w:r>
    </w:p>
    <w:p>
      <w:pPr>
        <w:pStyle w:val="null3"/>
      </w:pPr>
      <w:r>
        <w:rPr>
          <w:rFonts w:ascii="仿宋_GB2312" w:hAnsi="仿宋_GB2312" w:cs="仿宋_GB2312" w:eastAsia="仿宋_GB2312"/>
        </w:rPr>
        <w:t>地址：西安市莲湖区北关正街35号方兴大厦4-018室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采购饲料、饲草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610,000.00</w:t>
      </w:r>
    </w:p>
    <w:p>
      <w:pPr>
        <w:pStyle w:val="null3"/>
      </w:pPr>
      <w:r>
        <w:rPr>
          <w:rFonts w:ascii="仿宋_GB2312" w:hAnsi="仿宋_GB2312" w:cs="仿宋_GB2312" w:eastAsia="仿宋_GB2312"/>
        </w:rPr>
        <w:t>采购包最高限价（元）: 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饲料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饲草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标的名称：饲料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一、采购数量：</w:t>
            </w:r>
          </w:p>
          <w:p>
            <w:pPr>
              <w:pStyle w:val="null3"/>
              <w:ind w:firstLine="480"/>
              <w:jc w:val="both"/>
            </w:pPr>
            <w:r>
              <w:rPr>
                <w:rFonts w:ascii="仿宋_GB2312" w:hAnsi="仿宋_GB2312" w:cs="仿宋_GB2312" w:eastAsia="仿宋_GB2312"/>
                <w:sz w:val="24"/>
              </w:rPr>
              <w:t>膨化大豆</w:t>
            </w:r>
            <w:r>
              <w:rPr>
                <w:rFonts w:ascii="仿宋_GB2312" w:hAnsi="仿宋_GB2312" w:cs="仿宋_GB2312" w:eastAsia="仿宋_GB2312"/>
                <w:sz w:val="24"/>
              </w:rPr>
              <w:t>16吨，豆粕6吨，麸皮22吨，压片玉米51吨，种公牛专用预混料12吨，瘤胃菌群调节添加剂2吨，饲料脱霉剂0.5吨。</w:t>
            </w:r>
          </w:p>
          <w:p>
            <w:pPr>
              <w:pStyle w:val="null3"/>
              <w:ind w:firstLine="480"/>
              <w:jc w:val="both"/>
            </w:pPr>
            <w:r>
              <w:rPr>
                <w:rFonts w:ascii="仿宋_GB2312" w:hAnsi="仿宋_GB2312" w:cs="仿宋_GB2312" w:eastAsia="仿宋_GB2312"/>
                <w:sz w:val="24"/>
              </w:rPr>
              <w:t>二、质量标准：</w:t>
            </w:r>
          </w:p>
          <w:p>
            <w:pPr>
              <w:pStyle w:val="null3"/>
              <w:ind w:firstLine="480"/>
              <w:jc w:val="both"/>
            </w:pPr>
            <w:r>
              <w:rPr>
                <w:rFonts w:ascii="仿宋_GB2312" w:hAnsi="仿宋_GB2312" w:cs="仿宋_GB2312" w:eastAsia="仿宋_GB2312"/>
                <w:sz w:val="24"/>
              </w:rPr>
              <w:t>1、农药残留物要符合国家规定的标准。</w:t>
            </w:r>
          </w:p>
          <w:p>
            <w:pPr>
              <w:pStyle w:val="null3"/>
              <w:ind w:firstLine="480"/>
              <w:jc w:val="both"/>
            </w:pPr>
            <w:r>
              <w:rPr>
                <w:rFonts w:ascii="仿宋_GB2312" w:hAnsi="仿宋_GB2312" w:cs="仿宋_GB2312" w:eastAsia="仿宋_GB2312"/>
                <w:sz w:val="24"/>
              </w:rPr>
              <w:t>2、乙方需严格保证提供饲料的质量，符合国家及行业相应标准，保证新鲜、无毒、无污染、不发生变质。</w:t>
            </w:r>
          </w:p>
          <w:p>
            <w:pPr>
              <w:pStyle w:val="null3"/>
              <w:ind w:firstLine="480"/>
              <w:jc w:val="both"/>
            </w:pPr>
            <w:r>
              <w:rPr>
                <w:rFonts w:ascii="仿宋_GB2312" w:hAnsi="仿宋_GB2312" w:cs="仿宋_GB2312" w:eastAsia="仿宋_GB2312"/>
                <w:sz w:val="24"/>
              </w:rPr>
              <w:t>3、压片玉米质量要求：一级，浅黄色至黄色，片状物，具有蒸汽蒸制的特殊香味，片状，无霉变，无异味，无杂质。淀粉糊化度≥70%，容重＜300g/L，淀粉≥65%，水分＜12%。</w:t>
            </w:r>
          </w:p>
          <w:p>
            <w:pPr>
              <w:pStyle w:val="null3"/>
              <w:ind w:firstLine="480"/>
              <w:jc w:val="both"/>
            </w:pPr>
            <w:r>
              <w:rPr>
                <w:rFonts w:ascii="仿宋_GB2312" w:hAnsi="仿宋_GB2312" w:cs="仿宋_GB2312" w:eastAsia="仿宋_GB2312"/>
                <w:sz w:val="24"/>
              </w:rPr>
              <w:t>4、膨化大豆质量要求：一级，黄色或浅黄色粉状物，色泽一致，具有豆香味，无发酵、发霉、结块、虫蛀及异味异嗅。粗蛋白质≥35.0%，粗脂肪≥18.0%，粗灰分≤5.5%，粗纤维≤5.5%，水分＜12.0%，氢氧化钾蛋白质溶解度70.0%~85.0%，脂肪酸值≤85.0mg/100g。</w:t>
            </w:r>
          </w:p>
          <w:p>
            <w:pPr>
              <w:pStyle w:val="null3"/>
              <w:ind w:firstLine="480"/>
              <w:jc w:val="both"/>
            </w:pPr>
            <w:r>
              <w:rPr>
                <w:rFonts w:ascii="仿宋_GB2312" w:hAnsi="仿宋_GB2312" w:cs="仿宋_GB2312" w:eastAsia="仿宋_GB2312"/>
                <w:sz w:val="24"/>
              </w:rPr>
              <w:t>5、豆粕质量要求：二级及以上，呈浅黄色或淡棕色或红褐色，不规则的碎片状或粗颗粒状或粗粉状，无发酵、霉变、虫害及异味异臭。粗蛋白质≥43.0%，水分＜12.50%，粗灰分≤7%，氢氧化钾蛋白质溶解度≥73.0%。</w:t>
            </w:r>
          </w:p>
          <w:p>
            <w:pPr>
              <w:pStyle w:val="null3"/>
              <w:ind w:firstLine="480"/>
              <w:jc w:val="both"/>
            </w:pPr>
            <w:r>
              <w:rPr>
                <w:rFonts w:ascii="仿宋_GB2312" w:hAnsi="仿宋_GB2312" w:cs="仿宋_GB2312" w:eastAsia="仿宋_GB2312"/>
                <w:sz w:val="24"/>
              </w:rPr>
              <w:t>6、小麦麸皮质量要求：一级，细碎屑状，色泽气味正常，无霉变，无结块，不得掺有小麦麸以外的物质，若加入抗氧化剂、防霉剂等添加剂时，应做相应的说明。粗蛋白质≥11.0%，粗纤维≤12.0%，粗灰分≤6.0%，水分≤12%。</w:t>
            </w:r>
          </w:p>
          <w:p>
            <w:pPr>
              <w:pStyle w:val="null3"/>
              <w:ind w:firstLine="480"/>
              <w:jc w:val="both"/>
            </w:pPr>
            <w:r>
              <w:rPr>
                <w:rFonts w:ascii="仿宋_GB2312" w:hAnsi="仿宋_GB2312" w:cs="仿宋_GB2312" w:eastAsia="仿宋_GB2312"/>
                <w:sz w:val="24"/>
              </w:rPr>
              <w:t>7、种公牛专用预混料质量要求：维生素A≥112KIU，维生素D≥19KIU，维生素E≥600IU，铜≥80mg，铁≥860mg，锌≥1000mg，锰≥300mg，水分＜10%。</w:t>
            </w:r>
          </w:p>
          <w:p>
            <w:pPr>
              <w:pStyle w:val="null3"/>
              <w:ind w:firstLine="480"/>
              <w:jc w:val="both"/>
            </w:pPr>
            <w:r>
              <w:rPr>
                <w:rFonts w:ascii="仿宋_GB2312" w:hAnsi="仿宋_GB2312" w:cs="仿宋_GB2312" w:eastAsia="仿宋_GB2312"/>
                <w:sz w:val="24"/>
              </w:rPr>
              <w:t>8、脱霉剂及饲料添加剂要求：脱霉剂符合国家和行业标准。添加剂以益生菌或矿物质添加剂为主，并符合国家质量要求。</w:t>
            </w:r>
          </w:p>
          <w:p>
            <w:pPr>
              <w:pStyle w:val="null3"/>
              <w:ind w:firstLine="482"/>
              <w:jc w:val="both"/>
            </w:pPr>
            <w:r>
              <w:rPr>
                <w:rFonts w:ascii="仿宋_GB2312" w:hAnsi="仿宋_GB2312" w:cs="仿宋_GB2312" w:eastAsia="仿宋_GB2312"/>
                <w:sz w:val="24"/>
                <w:b/>
              </w:rPr>
              <w:t>以上</w:t>
            </w:r>
            <w:r>
              <w:rPr>
                <w:rFonts w:ascii="仿宋_GB2312" w:hAnsi="仿宋_GB2312" w:cs="仿宋_GB2312" w:eastAsia="仿宋_GB2312"/>
                <w:sz w:val="24"/>
                <w:b/>
              </w:rPr>
              <w:t>3-7采购饲料种类需提供最少一项近一年有资质机构出具的质量检测报告。</w:t>
            </w:r>
          </w:p>
          <w:p>
            <w:pPr>
              <w:pStyle w:val="null3"/>
              <w:ind w:firstLine="480"/>
              <w:jc w:val="both"/>
            </w:pPr>
            <w:r>
              <w:rPr>
                <w:rFonts w:ascii="仿宋_GB2312" w:hAnsi="仿宋_GB2312" w:cs="仿宋_GB2312" w:eastAsia="仿宋_GB2312"/>
                <w:sz w:val="24"/>
              </w:rPr>
              <w:t>三、其他要求：</w:t>
            </w:r>
          </w:p>
          <w:p>
            <w:pPr>
              <w:pStyle w:val="null3"/>
              <w:ind w:firstLine="480"/>
              <w:jc w:val="both"/>
            </w:pPr>
            <w:r>
              <w:rPr>
                <w:rFonts w:ascii="仿宋_GB2312" w:hAnsi="仿宋_GB2312" w:cs="仿宋_GB2312" w:eastAsia="仿宋_GB2312"/>
                <w:sz w:val="24"/>
              </w:rPr>
              <w:t>中标签订合同后，中标方向采购方出具邀请函，双方共同组成考察小组进行实地考察，具体考察时间由采购方确定，对采购项</w:t>
            </w:r>
            <w:r>
              <w:rPr>
                <w:rFonts w:ascii="仿宋_GB2312" w:hAnsi="仿宋_GB2312" w:cs="仿宋_GB2312" w:eastAsia="仿宋_GB2312"/>
                <w:sz w:val="24"/>
              </w:rPr>
              <w:t>3、4、5、6饲料品种中标方需提供至少两个以上饲料产地或者供货地进行实地考察，采购方根据采购要求及产地产品的质量与乙方协商确定供货地及备选供货地。</w:t>
            </w:r>
          </w:p>
          <w:p>
            <w:pPr>
              <w:pStyle w:val="null3"/>
              <w:ind w:firstLine="48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标的名称：饲草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一、采购数量：</w:t>
            </w:r>
          </w:p>
          <w:p>
            <w:pPr>
              <w:pStyle w:val="null3"/>
              <w:ind w:firstLine="480"/>
              <w:jc w:val="left"/>
            </w:pPr>
            <w:r>
              <w:rPr>
                <w:rFonts w:ascii="仿宋_GB2312" w:hAnsi="仿宋_GB2312" w:cs="仿宋_GB2312" w:eastAsia="仿宋_GB2312"/>
                <w:sz w:val="24"/>
              </w:rPr>
              <w:t>苜蓿干草</w:t>
            </w:r>
            <w:r>
              <w:rPr>
                <w:rFonts w:ascii="仿宋_GB2312" w:hAnsi="仿宋_GB2312" w:cs="仿宋_GB2312" w:eastAsia="仿宋_GB2312"/>
                <w:sz w:val="24"/>
              </w:rPr>
              <w:t>60吨、燕麦干草60吨、羊草96吨、红萝卜8吨。</w:t>
            </w:r>
          </w:p>
          <w:p>
            <w:pPr>
              <w:pStyle w:val="null3"/>
              <w:ind w:firstLine="480"/>
              <w:jc w:val="left"/>
            </w:pPr>
            <w:r>
              <w:rPr>
                <w:rFonts w:ascii="仿宋_GB2312" w:hAnsi="仿宋_GB2312" w:cs="仿宋_GB2312" w:eastAsia="仿宋_GB2312"/>
                <w:sz w:val="24"/>
              </w:rPr>
              <w:t>二、质量标准：</w:t>
            </w:r>
          </w:p>
          <w:p>
            <w:pPr>
              <w:pStyle w:val="null3"/>
              <w:ind w:firstLine="480"/>
              <w:jc w:val="left"/>
            </w:pPr>
            <w:r>
              <w:rPr>
                <w:rFonts w:ascii="仿宋_GB2312" w:hAnsi="仿宋_GB2312" w:cs="仿宋_GB2312" w:eastAsia="仿宋_GB2312"/>
                <w:sz w:val="24"/>
              </w:rPr>
              <w:t>1、农药残留物要符合国家规定的标准。</w:t>
            </w:r>
          </w:p>
          <w:p>
            <w:pPr>
              <w:pStyle w:val="null3"/>
              <w:ind w:firstLine="480"/>
              <w:jc w:val="left"/>
            </w:pPr>
            <w:r>
              <w:rPr>
                <w:rFonts w:ascii="仿宋_GB2312" w:hAnsi="仿宋_GB2312" w:cs="仿宋_GB2312" w:eastAsia="仿宋_GB2312"/>
                <w:sz w:val="24"/>
              </w:rPr>
              <w:t>2、乙方需严格保证提供饲草的质量，符合国家及行业相应标准，保证新鲜、无毒、无污染、不发生变质。</w:t>
            </w:r>
          </w:p>
          <w:p>
            <w:pPr>
              <w:pStyle w:val="null3"/>
              <w:ind w:firstLine="480"/>
              <w:jc w:val="left"/>
            </w:pPr>
            <w:r>
              <w:rPr>
                <w:rFonts w:ascii="仿宋_GB2312" w:hAnsi="仿宋_GB2312" w:cs="仿宋_GB2312" w:eastAsia="仿宋_GB2312"/>
                <w:sz w:val="24"/>
              </w:rPr>
              <w:t>3、饲草要求来自专属种植区，供应方需提供饲草来源地畜牧兽医主管部门开具的非疫区证明或者非放牧区证明，禁止供应放牧地生产的饲草，否则乙方应承担全部的法律和经济责任。</w:t>
            </w:r>
          </w:p>
          <w:p>
            <w:pPr>
              <w:pStyle w:val="null3"/>
              <w:ind w:firstLine="480"/>
              <w:jc w:val="left"/>
            </w:pPr>
            <w:r>
              <w:rPr>
                <w:rFonts w:ascii="仿宋_GB2312" w:hAnsi="仿宋_GB2312" w:cs="仿宋_GB2312" w:eastAsia="仿宋_GB2312"/>
                <w:sz w:val="24"/>
              </w:rPr>
              <w:t>4、苜蓿干草质量要求：定量捆装，二级及以上，定量捆装，青绿色，有干草芳香味，压扁且茎秆叶保持完整，均匀，无结块，无霉变。粗蛋白质≥18.0%，相对饲喂价值RFV≥160.0，NDF＜42.0%，ADF＜34.0%，粗灰分（以干基计）＜12.5%，水分＜14.0%，杂草＜3.0%。</w:t>
            </w:r>
          </w:p>
          <w:p>
            <w:pPr>
              <w:pStyle w:val="null3"/>
              <w:ind w:firstLine="480"/>
              <w:jc w:val="left"/>
            </w:pPr>
            <w:r>
              <w:rPr>
                <w:rFonts w:ascii="仿宋_GB2312" w:hAnsi="仿宋_GB2312" w:cs="仿宋_GB2312" w:eastAsia="仿宋_GB2312"/>
                <w:sz w:val="24"/>
              </w:rPr>
              <w:t>5、燕麦干草质量要求：A型燕麦干草，二级及以上，鲜绿或淡绿色，压扁，无霉变。有干草芳香味，无异味，无霉变，无明显土块杂物，均匀，定量梱装。粗蛋白质≥8.0%，NDF＜59.0%，ADF＜38.0%，水分＜14.0%，灰分＜13.0%，杂草＜5.0%。</w:t>
            </w:r>
          </w:p>
          <w:p>
            <w:pPr>
              <w:pStyle w:val="null3"/>
              <w:ind w:firstLine="480"/>
              <w:jc w:val="left"/>
            </w:pPr>
            <w:r>
              <w:rPr>
                <w:rFonts w:ascii="仿宋_GB2312" w:hAnsi="仿宋_GB2312" w:cs="仿宋_GB2312" w:eastAsia="仿宋_GB2312"/>
                <w:sz w:val="24"/>
              </w:rPr>
              <w:t>6、羊草质量要求：一级及以上，98%以上为绿色，色泽新鲜一致，有草香味，无异味，无霉变，无土块、畜便等杂物，均匀，捆装。羊草占比≥95.0%，粗蛋白质≥9.0%，NDF＜45.0%，ADF＜35.0%，水分＜14.0%，灰分＜13.0%。</w:t>
            </w:r>
          </w:p>
          <w:p>
            <w:pPr>
              <w:pStyle w:val="null3"/>
              <w:ind w:firstLine="480"/>
              <w:jc w:val="left"/>
            </w:pPr>
            <w:r>
              <w:rPr>
                <w:rFonts w:ascii="仿宋_GB2312" w:hAnsi="仿宋_GB2312" w:cs="仿宋_GB2312" w:eastAsia="仿宋_GB2312"/>
                <w:sz w:val="24"/>
              </w:rPr>
              <w:t>7、红萝卜质量要求：要求外观具有品种应有的特征。外观新鲜,色泽呈红色，形状完整，无病虫害，无腐烂变质。具有红萝卜应有的滋味和气味。</w:t>
            </w:r>
          </w:p>
          <w:p>
            <w:pPr>
              <w:pStyle w:val="null3"/>
              <w:ind w:firstLine="482"/>
              <w:jc w:val="left"/>
            </w:pPr>
            <w:r>
              <w:rPr>
                <w:rFonts w:ascii="仿宋_GB2312" w:hAnsi="仿宋_GB2312" w:cs="仿宋_GB2312" w:eastAsia="仿宋_GB2312"/>
                <w:sz w:val="24"/>
                <w:b/>
              </w:rPr>
              <w:t>以上</w:t>
            </w:r>
            <w:r>
              <w:rPr>
                <w:rFonts w:ascii="仿宋_GB2312" w:hAnsi="仿宋_GB2312" w:cs="仿宋_GB2312" w:eastAsia="仿宋_GB2312"/>
                <w:sz w:val="24"/>
                <w:b/>
              </w:rPr>
              <w:t>4-6采购饲草种类需提供最少一项近一年有资质机构出具的质量检测报告。</w:t>
            </w:r>
          </w:p>
          <w:p>
            <w:pPr>
              <w:pStyle w:val="null3"/>
              <w:ind w:firstLine="480"/>
              <w:jc w:val="both"/>
            </w:pPr>
            <w:r>
              <w:rPr>
                <w:rFonts w:ascii="仿宋_GB2312" w:hAnsi="仿宋_GB2312" w:cs="仿宋_GB2312" w:eastAsia="仿宋_GB2312"/>
                <w:sz w:val="24"/>
              </w:rPr>
              <w:t>三、其他要求：</w:t>
            </w:r>
          </w:p>
          <w:p>
            <w:pPr>
              <w:pStyle w:val="null3"/>
              <w:ind w:firstLine="480"/>
              <w:jc w:val="both"/>
            </w:pPr>
            <w:r>
              <w:rPr>
                <w:rFonts w:ascii="仿宋_GB2312" w:hAnsi="仿宋_GB2312" w:cs="仿宋_GB2312" w:eastAsia="仿宋_GB2312"/>
                <w:sz w:val="24"/>
              </w:rPr>
              <w:t>中标签订合同后，中标方向采购方出具邀请函，双方共同组成考察小组进行实地考察，具体考察时间由采购方确定，对采购项</w:t>
            </w:r>
            <w:r>
              <w:rPr>
                <w:rFonts w:ascii="仿宋_GB2312" w:hAnsi="仿宋_GB2312" w:cs="仿宋_GB2312" w:eastAsia="仿宋_GB2312"/>
                <w:sz w:val="24"/>
              </w:rPr>
              <w:t>4、5、6饲草品种中标方需提供至少两个以上饲草产地或者供货地进行实地考察，采购方根据采购要求及产地产品的质量与乙方协商确定供货地及备选供货地。</w:t>
            </w:r>
          </w:p>
          <w:p>
            <w:pPr>
              <w:pStyle w:val="null3"/>
              <w:ind w:firstLine="48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合同签订之日起至2025年12月15日前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合同签订之日起至2025年12月15日前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按月度付款，6月30日为第一次付款，月度交付货物验收合格乙方开具合规发票，付合同总价款的15%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按月度付款，7月31日为第二次付款，月度交付货物验收合格乙方开具合规发票，付合同总价款的15%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按月度付款，8月31日为第三次付款，月度交付货物验收合格乙方开具合规发票，付合同总价款的15%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按月度付款，9月30日为第四次付款，月度交付货物验收合格乙方开具合规发票，付合同总价款的15%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按月度付款，10月31日为第五次付款，月度交付货物验收合格乙方开具合规发票，付合同总价款的15%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按月度付款，11月30日为第六次付款，月度交付货物验收合格乙方开具合规发票，付合同总价款的15%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按月度付款，12月15日为第七次付款，月度交付货物验收合格乙方开具合规发票，付合同总价款的10%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按月度付款，6月30日为第一次付款，月度交付货物验收合格乙方开具合规发票，付合同总价款的15%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按月度付款，7月31日为第二次付款，月度交付货物验收合格乙方开具合规发票，付合同总价款的15%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按月度付款，8月31日为第三次付款，月度交付货物验收合格乙方开具合规发票，付合同总价款的15%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按月度付款，9月30日为第四次付款，月度交付货物验收合格乙方开具合规发票，付合同总价款的15%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按月度付款，10月31日为第五次付款，月度交付货物验收合格乙方开具合规发票，付合同总价款的15%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按月度付款，11月30日为第六次付款，月度交付货物验收合格乙方开具合规发票，付合同总价款的15%</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按月度付款，12月15日为第七次付款，月度交付货物验收合格乙方开具合规发票，付合同总价款的10%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90日历日</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2、请成交供应商在领取成交通知书时，向我单位递交响应文件正本壹份、副本贰份，电子文件贰份（纸质文件与线上评审电子文件保持一致）。 3、为保证本项目服务质量，本项目兼投不兼中；同一供应商可参与多个合同包的投标，但同一供应商只能获取一个合同包的中标（成交）资格。 4、根据《西安市财政局关于促进政府采购公平竞争优化营商环境的通知》市财函[2021]431号文第16条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ddjie688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2、请成交供应商在领取成交通知书时，向我单位递交响应文件正本壹份、副本贰份，电子文件贰份（纸质文件与线上评审电子文件保持一致）。 3、为保证本项目服务质量，本项目兼投不兼中；同一供应商可参与多个合同包的投标，但同一供应商只能获取一个合同包的中标（成交）资格。 4、根据《西安市财政局关于促进政府采购公平竞争优化营商环境的通知》市财函[2021]431号文第16条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ddjie688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提供供应商2024年1月1日以来至少一个月已缴纳的增值税纳税证明或完税证明，依法免税的供应商应提供加盖公章的相关证明文件。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参加本次政府采购活动的供应商在经营活动中未被列入“中国执行信息公开网”（http://zxgk.court.gov.cn/shixin/）失信被执行人名单、“信用中国”网站（www.creditchina.gov.cn）重大税收违法失信主体、“中国政府采购网”（www.ccgp.gov.cn）政府采购严重违法失信行为记录名单。开标评审将登陆“信用中国”网站（www.creditchina.gov.cn）、“中国政府采购网”（www.ccgp.gov.cn）、中国执行信息公开网”（http://zxgk.court.gov.cn/shixin/）进行审查。</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单位负责人为同一人或者存在控股、管理关系的不同单位不得同时参加同一项目投标。</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响应供应商须提供2022年1月1日至响应文件递交截止时间至少一项与本合同包类似相关业绩（提供中标通知书或合同协议书复印件并加盖单位公章）。</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提供供应商2024年1月1日以来至少一个月已缴纳的增值税纳税证明或完税证明，依法免税的供应商应提供加盖公章的相关证明文件。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参加本次政府采购活动的供应商在经营活动中未被列入“中国执行信息公开网”（http://zxgk.court.gov.cn/shixin/）失信被执行人名单、“信用中国”网站（www.creditchina.gov.cn）重大税收违法失信主体、“中国政府采购网”（www.ccgp.gov.cn）政府采购严重违法失信行为记录名单。开标评审将登陆“信用中国”网站（www.creditchina.gov.cn）、“中国政府采购网”（www.ccgp.gov.cn）、中国执行信息公开网”（http://zxgk.court.gov.cn/shixin/）进行审查。</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单位负责人为同一人或者存在控股、管理关系的不同单位不得同时参加同一项目投标。</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响应供应商须提供2022年1月1日至响应文件递交截止时间至少一项与本合同包类似相关业绩（提供中标通知书或合同协议书复印件并加盖单位公章）。</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 分项报价表.docx 技术偏离表.docx 资格证明部分.docx 中小企业声明函 残疾人福利性单位声明函 标的清单 响应供应商基本情况表.docx 响应函 商务偏离表.docx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技术偏离表.docx 资格证明部分.docx 中小企业声明函 残疾人福利性单位声明函 标的清单 响应供应商基本情况表.docx 响应函 商务偏离表.docx 监狱企业的证明文件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（4）符合《报价一览表》的填报要求</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商务条款（如合同履行期限、质保期、付款方式、响应有效期等）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响应文件封面 技术偏离表.docx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 分项报价表.docx 技术偏离表.docx 资格证明部分.docx 中小企业声明函 残疾人福利性单位声明函 标的清单 响应供应商基本情况表.docx 响应函 商务偏离表.docx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技术偏离表.docx 资格证明部分.docx 中小企业声明函 残疾人福利性单位声明函 标的清单 响应供应商基本情况表.docx 响应函 商务偏离表.docx 监狱企业的证明文件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（4）符合《报价一览表》的填报要求</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商务条款（如合同履行期限、质保期、付款方式、响应有效期等）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响应文件封面 技术偏离表.docx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