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3、相关管理措施</w:t>
      </w: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p w14:paraId="3C83A4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5121CA"/>
    <w:rsid w:val="3BEF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2025-05-15T07:40:00Z</dcterms:created>
  <dc:creator>qsw</dc:creator>
  <cp:lastModifiedBy>swear</cp:lastModifiedBy>
  <dcterms:modified xsi:type="dcterms:W3CDTF">2025-05-16T02:11:07Z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eyJoZGlkIjoiZjc1YThkOGUyN2U0MzBhNWJhZjFlYjU0YmY3ZDI4OGEiLCJ1c2VySWQiOiIyMjg3MjM3ODMifQ==</vt:lpwstr>
  </property>
  <property fmtid="{D5CDD505-2E9C-101B-9397-08002B2CF9AE}" pid="4" name="ICV">
    <vt:lpwstr>C677585962D543F4BA14311BE093D50F_12</vt:lpwstr>
  </property>
</Properties>
</file>