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DCD58">
      <w:pPr>
        <w:spacing w:before="435" w:beforeLines="100" w:after="435" w:afterLines="100" w:line="480" w:lineRule="auto"/>
        <w:jc w:val="center"/>
        <w:rPr>
          <w:rFonts w:hint="eastAsia" w:ascii="黑体" w:hAnsi="宋体" w:eastAsia="黑体"/>
          <w:b/>
          <w:sz w:val="44"/>
          <w:szCs w:val="44"/>
        </w:rPr>
      </w:pPr>
    </w:p>
    <w:p w14:paraId="661ACAD0">
      <w:pPr>
        <w:spacing w:before="435" w:beforeLines="100" w:after="435" w:afterLines="100" w:line="480" w:lineRule="auto"/>
        <w:jc w:val="center"/>
        <w:rPr>
          <w:rFonts w:hint="eastAsia" w:ascii="黑体" w:hAnsi="宋体" w:eastAsia="黑体"/>
          <w:b/>
          <w:sz w:val="44"/>
          <w:szCs w:val="44"/>
        </w:rPr>
      </w:pPr>
    </w:p>
    <w:p w14:paraId="0D5D7F5D">
      <w:pPr>
        <w:spacing w:before="435" w:beforeLines="100" w:after="435" w:afterLines="100" w:line="480" w:lineRule="auto"/>
        <w:jc w:val="center"/>
        <w:rPr>
          <w:rFonts w:hint="eastAsia" w:ascii="黑体" w:hAnsi="宋体" w:eastAsia="黑体"/>
          <w:b/>
          <w:sz w:val="44"/>
          <w:szCs w:val="44"/>
          <w:highlight w:val="none"/>
        </w:rPr>
      </w:pPr>
      <w:r>
        <w:rPr>
          <w:rFonts w:hint="eastAsia" w:ascii="黑体" w:hAnsi="宋体" w:eastAsia="黑体"/>
          <w:b/>
          <w:sz w:val="44"/>
          <w:szCs w:val="44"/>
          <w:highlight w:val="none"/>
        </w:rPr>
        <w:t>西安市国家传染病智能监测预警前置软件</w:t>
      </w:r>
    </w:p>
    <w:p w14:paraId="28B4E63D">
      <w:pPr>
        <w:spacing w:before="435" w:beforeLines="100" w:after="435" w:afterLines="100" w:line="480" w:lineRule="auto"/>
        <w:jc w:val="center"/>
        <w:rPr>
          <w:rFonts w:hint="eastAsia" w:ascii="黑体" w:hAnsi="宋体" w:eastAsia="黑体"/>
          <w:b/>
          <w:sz w:val="44"/>
          <w:szCs w:val="44"/>
          <w:highlight w:val="none"/>
          <w:lang w:eastAsia="zh-CN"/>
        </w:rPr>
      </w:pPr>
      <w:r>
        <w:rPr>
          <w:rFonts w:hint="eastAsia" w:ascii="黑体" w:hAnsi="宋体" w:eastAsia="黑体"/>
          <w:b/>
          <w:sz w:val="44"/>
          <w:szCs w:val="44"/>
          <w:highlight w:val="none"/>
        </w:rPr>
        <w:t>部署服务项目</w:t>
      </w:r>
      <w:r>
        <w:rPr>
          <w:rFonts w:hint="eastAsia" w:ascii="黑体" w:eastAsia="黑体"/>
          <w:b/>
          <w:sz w:val="44"/>
          <w:szCs w:val="44"/>
          <w:highlight w:val="none"/>
          <w:lang w:eastAsia="zh-CN"/>
        </w:rPr>
        <w:t>合同</w:t>
      </w:r>
    </w:p>
    <w:p w14:paraId="73191CFC">
      <w:pPr>
        <w:spacing w:line="240" w:lineRule="auto"/>
        <w:jc w:val="center"/>
        <w:rPr>
          <w:rFonts w:ascii="宋体" w:hAnsi="宋体"/>
          <w:bCs/>
          <w:color w:val="000000"/>
          <w:sz w:val="15"/>
          <w:szCs w:val="18"/>
          <w:highlight w:val="none"/>
        </w:rPr>
      </w:pPr>
      <w:r>
        <w:rPr>
          <w:rFonts w:hint="eastAsia" w:ascii="黑体" w:hAnsi="宋体" w:eastAsia="黑体"/>
          <w:bCs/>
          <w:color w:val="000000"/>
          <w:sz w:val="28"/>
          <w:szCs w:val="28"/>
          <w:highlight w:val="none"/>
        </w:rPr>
        <w:t>（项目编号：</w:t>
      </w:r>
      <w:r>
        <w:rPr>
          <w:rFonts w:ascii="宋体" w:hAnsi="宋体"/>
          <w:b/>
          <w:bCs/>
          <w:sz w:val="28"/>
          <w:szCs w:val="28"/>
          <w:highlight w:val="none"/>
        </w:rPr>
        <w:t>xxxxx</w:t>
      </w:r>
      <w:r>
        <w:rPr>
          <w:rFonts w:hint="eastAsia" w:ascii="黑体" w:hAnsi="宋体" w:eastAsia="黑体"/>
          <w:bCs/>
          <w:color w:val="000000"/>
          <w:sz w:val="28"/>
          <w:szCs w:val="28"/>
          <w:highlight w:val="none"/>
        </w:rPr>
        <w:t>）</w:t>
      </w:r>
    </w:p>
    <w:p w14:paraId="7CBEFE6D">
      <w:pPr>
        <w:pStyle w:val="5"/>
        <w:spacing w:before="217" w:beforeLines="50" w:after="217" w:afterLines="50" w:line="240" w:lineRule="auto"/>
        <w:jc w:val="center"/>
        <w:rPr>
          <w:rFonts w:hint="eastAsia" w:ascii="黑体" w:hAnsi="宋体" w:eastAsia="黑体"/>
          <w:b/>
          <w:color w:val="000000"/>
          <w:sz w:val="32"/>
          <w:szCs w:val="32"/>
          <w:highlight w:val="none"/>
          <w:u w:val="single"/>
        </w:rPr>
      </w:pPr>
    </w:p>
    <w:p w14:paraId="57495AF4">
      <w:pPr>
        <w:rPr>
          <w:rFonts w:ascii="宋体" w:hAnsi="宋体"/>
          <w:highlight w:val="none"/>
        </w:rPr>
      </w:pPr>
    </w:p>
    <w:p w14:paraId="1AB0323D">
      <w:pPr>
        <w:rPr>
          <w:rFonts w:ascii="宋体" w:hAnsi="宋体"/>
          <w:highlight w:val="none"/>
        </w:rPr>
      </w:pPr>
    </w:p>
    <w:p w14:paraId="27F1DAC3">
      <w:pPr>
        <w:rPr>
          <w:rFonts w:ascii="宋体" w:hAnsi="宋体"/>
          <w:highlight w:val="none"/>
        </w:rPr>
      </w:pPr>
    </w:p>
    <w:p w14:paraId="6F045195">
      <w:pPr>
        <w:rPr>
          <w:rFonts w:ascii="宋体" w:hAnsi="宋体"/>
          <w:highlight w:val="none"/>
        </w:rPr>
      </w:pPr>
    </w:p>
    <w:p w14:paraId="030C7BE8">
      <w:pPr>
        <w:rPr>
          <w:rFonts w:ascii="宋体" w:hAnsi="宋体"/>
          <w:highlight w:val="none"/>
        </w:rPr>
      </w:pPr>
    </w:p>
    <w:p w14:paraId="18BBD4C9">
      <w:pPr>
        <w:rPr>
          <w:rFonts w:ascii="宋体" w:hAnsi="宋体"/>
          <w:highlight w:val="none"/>
        </w:rPr>
      </w:pPr>
    </w:p>
    <w:p w14:paraId="5B2DA36E">
      <w:pPr>
        <w:pStyle w:val="2"/>
        <w:rPr>
          <w:rFonts w:ascii="宋体" w:hAnsi="宋体"/>
          <w:highlight w:val="none"/>
        </w:rPr>
      </w:pPr>
    </w:p>
    <w:p w14:paraId="4B5DF13D">
      <w:pPr>
        <w:pStyle w:val="3"/>
      </w:pPr>
      <w:bookmarkStart w:id="0" w:name="_GoBack"/>
      <w:bookmarkEnd w:id="0"/>
    </w:p>
    <w:p w14:paraId="6260B38B">
      <w:pPr>
        <w:spacing w:line="440" w:lineRule="exact"/>
        <w:rPr>
          <w:rFonts w:hint="eastAsia" w:ascii="宋体" w:hAnsi="宋体"/>
          <w:b/>
          <w:szCs w:val="32"/>
          <w:highlight w:val="none"/>
        </w:rPr>
      </w:pPr>
    </w:p>
    <w:p w14:paraId="62888BBB">
      <w:pPr>
        <w:pStyle w:val="5"/>
        <w:rPr>
          <w:highlight w:val="none"/>
        </w:rPr>
      </w:pPr>
    </w:p>
    <w:p w14:paraId="22AECE15">
      <w:pPr>
        <w:pStyle w:val="5"/>
        <w:rPr>
          <w:highlight w:val="none"/>
        </w:rPr>
      </w:pPr>
    </w:p>
    <w:p w14:paraId="47FB6516">
      <w:pPr>
        <w:pStyle w:val="5"/>
        <w:rPr>
          <w:highlight w:val="none"/>
        </w:rPr>
      </w:pPr>
    </w:p>
    <w:p w14:paraId="79320473">
      <w:pPr>
        <w:pStyle w:val="5"/>
        <w:rPr>
          <w:rFonts w:hint="eastAsia"/>
          <w:highlight w:val="none"/>
        </w:rPr>
      </w:pPr>
    </w:p>
    <w:p w14:paraId="55EFBF9A">
      <w:pPr>
        <w:pStyle w:val="5"/>
        <w:rPr>
          <w:rFonts w:hint="eastAsia"/>
          <w:highlight w:val="none"/>
        </w:rPr>
      </w:pPr>
    </w:p>
    <w:p w14:paraId="58E2EC84">
      <w:pPr>
        <w:spacing w:line="360" w:lineRule="auto"/>
        <w:ind w:firstLine="1100" w:firstLineChars="500"/>
        <w:rPr>
          <w:rFonts w:ascii="黑体" w:hAnsi="黑体" w:eastAsia="黑体"/>
          <w:bCs/>
          <w:szCs w:val="32"/>
          <w:highlight w:val="none"/>
        </w:rPr>
      </w:pPr>
      <w:r>
        <w:rPr>
          <w:rFonts w:hint="eastAsia" w:ascii="黑体" w:hAnsi="黑体" w:eastAsia="黑体"/>
          <w:bCs/>
          <w:szCs w:val="32"/>
          <w:highlight w:val="none"/>
        </w:rPr>
        <w:t>甲  方：西安市疾病预防控制中心</w:t>
      </w:r>
    </w:p>
    <w:p w14:paraId="011D9CF2">
      <w:pPr>
        <w:pStyle w:val="4"/>
        <w:spacing w:line="336" w:lineRule="auto"/>
        <w:ind w:firstLine="1100" w:firstLineChars="500"/>
        <w:rPr>
          <w:rFonts w:ascii="黑体" w:hAnsi="黑体" w:eastAsia="黑体"/>
          <w:bCs/>
          <w:szCs w:val="32"/>
          <w:highlight w:val="none"/>
        </w:rPr>
      </w:pPr>
      <w:r>
        <w:rPr>
          <w:rFonts w:hint="eastAsia" w:ascii="黑体" w:hAnsi="黑体" w:eastAsia="黑体"/>
          <w:bCs/>
          <w:szCs w:val="32"/>
          <w:highlight w:val="none"/>
        </w:rPr>
        <w:t>乙  方：x</w:t>
      </w:r>
      <w:r>
        <w:rPr>
          <w:rFonts w:ascii="黑体" w:hAnsi="黑体" w:eastAsia="黑体"/>
          <w:bCs/>
          <w:szCs w:val="32"/>
          <w:highlight w:val="none"/>
        </w:rPr>
        <w:t>xxxxxxx</w:t>
      </w:r>
    </w:p>
    <w:p w14:paraId="4442D7B7">
      <w:pPr>
        <w:spacing w:line="360" w:lineRule="auto"/>
        <w:ind w:firstLine="1100" w:firstLineChars="500"/>
        <w:rPr>
          <w:rFonts w:hint="eastAsia" w:ascii="黑体" w:hAnsi="黑体" w:eastAsia="黑体"/>
          <w:bCs/>
          <w:szCs w:val="32"/>
          <w:highlight w:val="none"/>
        </w:rPr>
      </w:pPr>
      <w:r>
        <w:rPr>
          <w:rFonts w:hint="eastAsia" w:ascii="黑体" w:hAnsi="黑体" w:eastAsia="黑体"/>
          <w:bCs/>
          <w:szCs w:val="32"/>
          <w:highlight w:val="none"/>
        </w:rPr>
        <w:t>鉴证方：x</w:t>
      </w:r>
      <w:r>
        <w:rPr>
          <w:rFonts w:ascii="黑体" w:hAnsi="黑体" w:eastAsia="黑体"/>
          <w:bCs/>
          <w:szCs w:val="32"/>
          <w:highlight w:val="none"/>
        </w:rPr>
        <w:t>xxxxx</w:t>
      </w:r>
    </w:p>
    <w:p w14:paraId="698A09AE">
      <w:pPr>
        <w:spacing w:line="360" w:lineRule="auto"/>
        <w:jc w:val="center"/>
        <w:rPr>
          <w:rFonts w:ascii="黑体" w:hAnsi="黑体" w:eastAsia="黑体"/>
          <w:bCs/>
          <w:szCs w:val="32"/>
          <w:highlight w:val="none"/>
        </w:rPr>
      </w:pPr>
      <w:r>
        <w:rPr>
          <w:rFonts w:hint="eastAsia" w:ascii="黑体" w:hAnsi="黑体" w:eastAsia="黑体"/>
          <w:bCs/>
          <w:szCs w:val="32"/>
          <w:highlight w:val="none"/>
        </w:rPr>
        <w:t>202</w:t>
      </w:r>
      <w:r>
        <w:rPr>
          <w:rFonts w:hint="eastAsia" w:ascii="黑体" w:hAnsi="黑体" w:eastAsia="黑体"/>
          <w:bCs/>
          <w:szCs w:val="32"/>
          <w:highlight w:val="none"/>
          <w:lang w:val="en-US" w:eastAsia="zh-CN"/>
        </w:rPr>
        <w:t>5</w:t>
      </w:r>
      <w:r>
        <w:rPr>
          <w:rFonts w:hint="eastAsia" w:ascii="黑体" w:hAnsi="黑体" w:eastAsia="黑体"/>
          <w:bCs/>
          <w:szCs w:val="32"/>
          <w:highlight w:val="none"/>
        </w:rPr>
        <w:t>年</w:t>
      </w:r>
      <w:r>
        <w:rPr>
          <w:rFonts w:ascii="黑体" w:hAnsi="黑体" w:eastAsia="黑体"/>
          <w:bCs/>
          <w:szCs w:val="32"/>
          <w:highlight w:val="none"/>
        </w:rPr>
        <w:t>x</w:t>
      </w:r>
      <w:r>
        <w:rPr>
          <w:rFonts w:hint="eastAsia" w:ascii="黑体" w:hAnsi="黑体" w:eastAsia="黑体"/>
          <w:bCs/>
          <w:szCs w:val="32"/>
          <w:highlight w:val="none"/>
        </w:rPr>
        <w:t>月</w:t>
      </w:r>
    </w:p>
    <w:p w14:paraId="58211038">
      <w:pPr>
        <w:spacing w:line="360" w:lineRule="auto"/>
        <w:rPr>
          <w:rFonts w:hint="default"/>
          <w:sz w:val="22"/>
          <w:szCs w:val="22"/>
          <w:highlight w:val="none"/>
          <w:u w:val="single"/>
          <w:lang w:val="en-US" w:eastAsia="zh-CN"/>
        </w:rPr>
      </w:pPr>
      <w:r>
        <w:rPr>
          <w:sz w:val="18"/>
          <w:szCs w:val="18"/>
        </w:rPr>
        <w:br w:type="page"/>
      </w:r>
      <w:r>
        <w:rPr>
          <w:rFonts w:hint="eastAsia"/>
          <w:sz w:val="22"/>
          <w:szCs w:val="22"/>
          <w:highlight w:val="none"/>
          <w:lang w:eastAsia="zh-CN"/>
        </w:rPr>
        <w:t>甲方（采购人）：</w:t>
      </w:r>
      <w:r>
        <w:rPr>
          <w:rFonts w:hint="eastAsia"/>
          <w:sz w:val="22"/>
          <w:szCs w:val="22"/>
          <w:highlight w:val="none"/>
          <w:u w:val="single"/>
          <w:lang w:val="en-US" w:eastAsia="zh-CN"/>
        </w:rPr>
        <w:t xml:space="preserve">               </w:t>
      </w:r>
    </w:p>
    <w:p w14:paraId="393F88CC">
      <w:pPr>
        <w:spacing w:line="360" w:lineRule="auto"/>
        <w:rPr>
          <w:rFonts w:hint="eastAsia"/>
          <w:sz w:val="22"/>
          <w:szCs w:val="22"/>
          <w:highlight w:val="none"/>
          <w:u w:val="single"/>
          <w:lang w:val="en-US" w:eastAsia="zh-CN"/>
        </w:rPr>
      </w:pPr>
      <w:r>
        <w:rPr>
          <w:rFonts w:hint="eastAsia"/>
          <w:sz w:val="22"/>
          <w:szCs w:val="22"/>
          <w:highlight w:val="none"/>
          <w:lang w:eastAsia="zh-CN"/>
        </w:rPr>
        <w:t>乙方（中标人）：</w:t>
      </w:r>
      <w:r>
        <w:rPr>
          <w:rFonts w:hint="eastAsia"/>
          <w:sz w:val="22"/>
          <w:szCs w:val="22"/>
          <w:highlight w:val="none"/>
          <w:u w:val="single"/>
          <w:lang w:val="en-US" w:eastAsia="zh-CN"/>
        </w:rPr>
        <w:t xml:space="preserve">                </w:t>
      </w:r>
    </w:p>
    <w:p w14:paraId="3771C692">
      <w:pPr>
        <w:spacing w:line="360" w:lineRule="auto"/>
        <w:ind w:firstLine="440" w:firstLineChars="200"/>
        <w:rPr>
          <w:rFonts w:ascii="宋体" w:hAnsi="宋体"/>
          <w:sz w:val="22"/>
          <w:szCs w:val="22"/>
          <w:highlight w:val="none"/>
        </w:rPr>
      </w:pPr>
      <w:r>
        <w:rPr>
          <w:rFonts w:hint="eastAsia" w:ascii="宋体" w:hAnsi="宋体"/>
          <w:b/>
          <w:bCs/>
          <w:sz w:val="22"/>
          <w:szCs w:val="22"/>
          <w:highlight w:val="none"/>
          <w:u w:val="single"/>
        </w:rPr>
        <w:t xml:space="preserve">西安市疾病预防控制中心 </w:t>
      </w:r>
      <w:r>
        <w:rPr>
          <w:rFonts w:hint="eastAsia" w:ascii="宋体" w:hAnsi="宋体"/>
          <w:sz w:val="22"/>
          <w:szCs w:val="22"/>
          <w:highlight w:val="none"/>
        </w:rPr>
        <w:t>（以下简称甲方）</w:t>
      </w:r>
      <w:r>
        <w:rPr>
          <w:rFonts w:hint="eastAsia" w:ascii="宋体" w:hAnsi="宋体"/>
          <w:b/>
          <w:bCs/>
          <w:sz w:val="22"/>
          <w:szCs w:val="22"/>
          <w:highlight w:val="none"/>
          <w:u w:val="single"/>
        </w:rPr>
        <w:t xml:space="preserve"> </w:t>
      </w:r>
      <w:r>
        <w:rPr>
          <w:rFonts w:hint="eastAsia" w:ascii="宋体" w:hAnsi="宋体"/>
          <w:b/>
          <w:bCs/>
          <w:sz w:val="22"/>
          <w:szCs w:val="22"/>
          <w:highlight w:val="none"/>
          <w:u w:val="single"/>
          <w:lang w:eastAsia="zh-CN"/>
        </w:rPr>
        <w:t>（项目名称、项目编号）</w:t>
      </w:r>
      <w:r>
        <w:rPr>
          <w:rFonts w:hint="eastAsia" w:ascii="宋体" w:hAnsi="宋体"/>
          <w:b/>
          <w:bCs/>
          <w:sz w:val="22"/>
          <w:szCs w:val="22"/>
          <w:highlight w:val="none"/>
          <w:u w:val="single"/>
        </w:rPr>
        <w:t xml:space="preserve"> </w:t>
      </w:r>
      <w:r>
        <w:rPr>
          <w:rFonts w:hint="eastAsia" w:ascii="宋体" w:hAnsi="宋体"/>
          <w:sz w:val="22"/>
          <w:szCs w:val="22"/>
          <w:highlight w:val="none"/>
        </w:rPr>
        <w:t>采购，在</w:t>
      </w:r>
      <w:r>
        <w:rPr>
          <w:rFonts w:hint="eastAsia" w:ascii="宋体" w:hAnsi="宋体"/>
          <w:sz w:val="22"/>
          <w:szCs w:val="22"/>
          <w:highlight w:val="none"/>
          <w:u w:val="single"/>
        </w:rPr>
        <w:t>西安市财政局</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rPr>
        <w:t>的监督管理下，选定</w:t>
      </w:r>
      <w:r>
        <w:rPr>
          <w:rFonts w:hint="eastAsia" w:ascii="宋体" w:hAnsi="宋体"/>
          <w:sz w:val="22"/>
          <w:szCs w:val="22"/>
          <w:highlight w:val="none"/>
          <w:u w:val="single"/>
        </w:rPr>
        <w:t xml:space="preserve">    </w:t>
      </w:r>
      <w:r>
        <w:rPr>
          <w:rFonts w:hint="eastAsia" w:ascii="宋体" w:hAnsi="宋体"/>
          <w:sz w:val="22"/>
          <w:szCs w:val="22"/>
          <w:highlight w:val="none"/>
          <w:u w:val="single"/>
          <w:lang w:val="en-US" w:eastAsia="zh-CN"/>
        </w:rPr>
        <w:t xml:space="preserve">   </w:t>
      </w:r>
      <w:r>
        <w:rPr>
          <w:rFonts w:hint="eastAsia" w:ascii="宋体" w:hAnsi="宋体"/>
          <w:sz w:val="22"/>
          <w:szCs w:val="22"/>
          <w:highlight w:val="none"/>
          <w:u w:val="single"/>
        </w:rPr>
        <w:t xml:space="preserve">        </w:t>
      </w:r>
      <w:r>
        <w:rPr>
          <w:rFonts w:hint="eastAsia" w:ascii="宋体" w:hAnsi="宋体"/>
          <w:sz w:val="22"/>
          <w:szCs w:val="22"/>
          <w:highlight w:val="none"/>
        </w:rPr>
        <w:t xml:space="preserve"> (以下简称乙方）为该项目</w:t>
      </w:r>
      <w:r>
        <w:rPr>
          <w:rFonts w:hint="eastAsia" w:ascii="宋体" w:hAnsi="宋体"/>
          <w:sz w:val="22"/>
          <w:szCs w:val="22"/>
          <w:highlight w:val="none"/>
          <w:lang w:eastAsia="zh-CN"/>
        </w:rPr>
        <w:t>中标</w:t>
      </w:r>
      <w:r>
        <w:rPr>
          <w:rFonts w:hint="eastAsia" w:ascii="宋体" w:hAnsi="宋体"/>
          <w:sz w:val="22"/>
          <w:szCs w:val="22"/>
          <w:highlight w:val="none"/>
        </w:rPr>
        <w:t>供应商。依据《中华人民共和国民法典》和《中华人民共和国政府采购法》，经甲、乙双方共同协商，按下述条款和条件签署本合同。</w:t>
      </w:r>
    </w:p>
    <w:p w14:paraId="2A434E97">
      <w:pPr>
        <w:spacing w:line="360" w:lineRule="auto"/>
        <w:rPr>
          <w:rFonts w:hint="eastAsia"/>
          <w:b/>
          <w:bCs/>
          <w:sz w:val="22"/>
          <w:szCs w:val="22"/>
          <w:highlight w:val="none"/>
          <w:lang w:eastAsia="zh-CN"/>
        </w:rPr>
      </w:pPr>
      <w:r>
        <w:rPr>
          <w:rFonts w:hint="eastAsia"/>
          <w:b/>
          <w:bCs/>
          <w:sz w:val="22"/>
          <w:szCs w:val="22"/>
          <w:highlight w:val="none"/>
          <w:lang w:eastAsia="zh-CN"/>
        </w:rPr>
        <w:t>一、合同文件</w:t>
      </w:r>
    </w:p>
    <w:p w14:paraId="1334FE37">
      <w:pPr>
        <w:spacing w:line="360" w:lineRule="auto"/>
        <w:rPr>
          <w:rFonts w:hint="eastAsia"/>
          <w:sz w:val="22"/>
          <w:szCs w:val="22"/>
          <w:highlight w:val="none"/>
          <w:lang w:eastAsia="zh-CN"/>
        </w:rPr>
      </w:pPr>
      <w:r>
        <w:rPr>
          <w:rFonts w:hint="eastAsia"/>
          <w:sz w:val="22"/>
          <w:szCs w:val="22"/>
          <w:highlight w:val="none"/>
          <w:lang w:eastAsia="zh-CN"/>
        </w:rPr>
        <w:t>本合同所附下列文件是构成本合同不可分割的部分：</w:t>
      </w:r>
    </w:p>
    <w:p w14:paraId="007AE049">
      <w:pPr>
        <w:spacing w:line="360" w:lineRule="auto"/>
        <w:rPr>
          <w:rFonts w:hint="eastAsia"/>
          <w:sz w:val="22"/>
          <w:szCs w:val="22"/>
          <w:highlight w:val="none"/>
          <w:lang w:eastAsia="zh-CN"/>
        </w:rPr>
      </w:pPr>
      <w:r>
        <w:rPr>
          <w:rFonts w:hint="eastAsia"/>
          <w:sz w:val="22"/>
          <w:szCs w:val="22"/>
          <w:highlight w:val="none"/>
          <w:lang w:eastAsia="zh-CN"/>
        </w:rPr>
        <w:t>（一）本项目招标文件</w:t>
      </w:r>
    </w:p>
    <w:p w14:paraId="492F4241">
      <w:pPr>
        <w:spacing w:line="360" w:lineRule="auto"/>
        <w:rPr>
          <w:rFonts w:hint="eastAsia"/>
          <w:sz w:val="22"/>
          <w:szCs w:val="22"/>
          <w:highlight w:val="none"/>
          <w:lang w:eastAsia="zh-CN"/>
        </w:rPr>
      </w:pPr>
      <w:r>
        <w:rPr>
          <w:rFonts w:hint="eastAsia"/>
          <w:sz w:val="22"/>
          <w:szCs w:val="22"/>
          <w:highlight w:val="none"/>
          <w:lang w:eastAsia="zh-CN"/>
        </w:rPr>
        <w:t>（二）中标人投标文件</w:t>
      </w:r>
    </w:p>
    <w:p w14:paraId="71B7CD04">
      <w:pPr>
        <w:spacing w:line="360" w:lineRule="auto"/>
        <w:rPr>
          <w:rFonts w:hint="eastAsia"/>
          <w:sz w:val="22"/>
          <w:szCs w:val="22"/>
          <w:highlight w:val="none"/>
          <w:lang w:eastAsia="zh-CN"/>
        </w:rPr>
      </w:pPr>
      <w:r>
        <w:rPr>
          <w:rFonts w:hint="eastAsia"/>
          <w:sz w:val="22"/>
          <w:szCs w:val="22"/>
          <w:highlight w:val="none"/>
          <w:lang w:eastAsia="zh-CN"/>
        </w:rPr>
        <w:t>（三）合同格式、合同条款</w:t>
      </w:r>
    </w:p>
    <w:p w14:paraId="4AF39FD3">
      <w:pPr>
        <w:spacing w:line="360" w:lineRule="auto"/>
        <w:rPr>
          <w:rFonts w:hint="eastAsia"/>
          <w:sz w:val="22"/>
          <w:szCs w:val="22"/>
          <w:highlight w:val="none"/>
          <w:lang w:eastAsia="zh-CN"/>
        </w:rPr>
      </w:pPr>
      <w:r>
        <w:rPr>
          <w:rFonts w:hint="eastAsia"/>
          <w:sz w:val="22"/>
          <w:szCs w:val="22"/>
          <w:highlight w:val="none"/>
          <w:lang w:eastAsia="zh-CN"/>
        </w:rPr>
        <w:t>（四）中标人在评标过程中做出的有关澄清、说明或者补正文件</w:t>
      </w:r>
    </w:p>
    <w:p w14:paraId="79A0AD6F">
      <w:pPr>
        <w:spacing w:line="360" w:lineRule="auto"/>
        <w:rPr>
          <w:rFonts w:hint="eastAsia"/>
          <w:sz w:val="22"/>
          <w:szCs w:val="22"/>
          <w:highlight w:val="none"/>
          <w:lang w:eastAsia="zh-CN"/>
        </w:rPr>
      </w:pPr>
      <w:r>
        <w:rPr>
          <w:rFonts w:hint="eastAsia"/>
          <w:sz w:val="22"/>
          <w:szCs w:val="22"/>
          <w:highlight w:val="none"/>
          <w:lang w:eastAsia="zh-CN"/>
        </w:rPr>
        <w:t>（五）中标通知书</w:t>
      </w:r>
    </w:p>
    <w:p w14:paraId="71954DB3">
      <w:pPr>
        <w:spacing w:line="360" w:lineRule="auto"/>
        <w:rPr>
          <w:rFonts w:hint="eastAsia"/>
          <w:sz w:val="22"/>
          <w:szCs w:val="22"/>
          <w:highlight w:val="none"/>
          <w:lang w:eastAsia="zh-CN"/>
        </w:rPr>
      </w:pPr>
      <w:r>
        <w:rPr>
          <w:rFonts w:hint="eastAsia"/>
          <w:sz w:val="22"/>
          <w:szCs w:val="22"/>
          <w:highlight w:val="none"/>
          <w:lang w:eastAsia="zh-CN"/>
        </w:rPr>
        <w:t>（六）本合同附件</w:t>
      </w:r>
    </w:p>
    <w:p w14:paraId="4C121180">
      <w:pPr>
        <w:spacing w:line="360" w:lineRule="auto"/>
        <w:rPr>
          <w:rFonts w:hint="eastAsia"/>
          <w:b/>
          <w:bCs/>
          <w:sz w:val="22"/>
          <w:szCs w:val="22"/>
          <w:highlight w:val="none"/>
          <w:lang w:eastAsia="zh-CN"/>
        </w:rPr>
      </w:pPr>
      <w:r>
        <w:rPr>
          <w:rFonts w:hint="eastAsia"/>
          <w:b/>
          <w:bCs/>
          <w:sz w:val="22"/>
          <w:szCs w:val="22"/>
          <w:highlight w:val="none"/>
          <w:lang w:eastAsia="zh-CN"/>
        </w:rPr>
        <w:t>二、合同的范围和条件</w:t>
      </w:r>
    </w:p>
    <w:p w14:paraId="350A5CAC">
      <w:pPr>
        <w:spacing w:line="360" w:lineRule="auto"/>
        <w:ind w:firstLine="220" w:firstLineChars="100"/>
        <w:rPr>
          <w:rFonts w:hint="eastAsia" w:ascii="宋体" w:hAnsi="宋体" w:eastAsia="宋体" w:cs="宋体"/>
          <w:b w:val="0"/>
          <w:bCs w:val="0"/>
          <w:sz w:val="22"/>
          <w:szCs w:val="22"/>
          <w:highlight w:val="none"/>
          <w:u w:val="single"/>
          <w:lang w:eastAsia="zh-CN"/>
        </w:rPr>
      </w:pPr>
      <w:r>
        <w:rPr>
          <w:rFonts w:hint="eastAsia" w:ascii="宋体" w:hAnsi="宋体" w:eastAsia="宋体" w:cs="宋体"/>
          <w:b w:val="0"/>
          <w:bCs w:val="0"/>
          <w:sz w:val="22"/>
          <w:szCs w:val="22"/>
          <w:highlight w:val="none"/>
          <w:u w:val="single"/>
          <w:lang w:val="en-US" w:eastAsia="zh-CN"/>
        </w:rPr>
        <w:t>西安市辖区内二级及以上医疗机构221家</w:t>
      </w:r>
      <w:r>
        <w:rPr>
          <w:rFonts w:hint="eastAsia" w:cs="宋体"/>
          <w:b w:val="0"/>
          <w:bCs w:val="0"/>
          <w:sz w:val="22"/>
          <w:szCs w:val="22"/>
          <w:highlight w:val="none"/>
          <w:u w:val="single"/>
          <w:lang w:val="en-US" w:eastAsia="zh-CN"/>
        </w:rPr>
        <w:t>。（如医疗机构因多种原因无法上线的，按照甲方最终确认的数量进行验收。）</w:t>
      </w:r>
    </w:p>
    <w:p w14:paraId="15E6C7E5">
      <w:pPr>
        <w:numPr>
          <w:ilvl w:val="0"/>
          <w:numId w:val="1"/>
        </w:numPr>
        <w:spacing w:line="360" w:lineRule="auto"/>
        <w:rPr>
          <w:rFonts w:hint="eastAsia"/>
          <w:b/>
          <w:bCs/>
          <w:sz w:val="22"/>
          <w:szCs w:val="22"/>
          <w:highlight w:val="none"/>
          <w:lang w:eastAsia="zh-CN"/>
        </w:rPr>
      </w:pPr>
      <w:r>
        <w:rPr>
          <w:rFonts w:hint="eastAsia"/>
          <w:b/>
          <w:bCs/>
          <w:sz w:val="22"/>
          <w:szCs w:val="22"/>
          <w:highlight w:val="none"/>
          <w:lang w:eastAsia="zh-CN"/>
        </w:rPr>
        <w:t>服务内容</w:t>
      </w:r>
    </w:p>
    <w:p w14:paraId="4878E457">
      <w:pPr>
        <w:numPr>
          <w:ilvl w:val="0"/>
          <w:numId w:val="0"/>
        </w:numPr>
        <w:spacing w:line="360" w:lineRule="auto"/>
        <w:rPr>
          <w:rFonts w:hint="eastAsia"/>
          <w:sz w:val="22"/>
          <w:szCs w:val="22"/>
          <w:highlight w:val="none"/>
          <w:lang w:eastAsia="zh-CN"/>
        </w:rPr>
      </w:pPr>
      <w:r>
        <w:rPr>
          <w:rFonts w:hint="eastAsia"/>
          <w:sz w:val="22"/>
          <w:szCs w:val="22"/>
          <w:highlight w:val="none"/>
          <w:u w:val="none"/>
          <w:lang w:val="en-US" w:eastAsia="zh-CN"/>
        </w:rPr>
        <w:t>1、服务内容：</w:t>
      </w:r>
      <w:r>
        <w:rPr>
          <w:rFonts w:hint="eastAsia"/>
          <w:sz w:val="22"/>
          <w:szCs w:val="22"/>
          <w:highlight w:val="none"/>
          <w:u w:val="single"/>
          <w:lang w:val="en-US" w:eastAsia="zh-CN"/>
        </w:rPr>
        <w:t xml:space="preserve">                </w:t>
      </w:r>
      <w:r>
        <w:rPr>
          <w:rFonts w:hint="eastAsia"/>
          <w:sz w:val="22"/>
          <w:szCs w:val="22"/>
          <w:highlight w:val="none"/>
          <w:lang w:eastAsia="zh-CN"/>
        </w:rPr>
        <w:t>。</w:t>
      </w:r>
    </w:p>
    <w:p w14:paraId="3223A923">
      <w:pPr>
        <w:pStyle w:val="3"/>
        <w:spacing w:line="360" w:lineRule="auto"/>
        <w:ind w:left="0" w:leftChars="0" w:firstLine="0" w:firstLineChars="0"/>
        <w:rPr>
          <w:rFonts w:hint="eastAsia"/>
          <w:sz w:val="22"/>
          <w:szCs w:val="22"/>
          <w:highlight w:val="none"/>
          <w:lang w:eastAsia="zh-CN"/>
        </w:rPr>
      </w:pPr>
      <w:r>
        <w:rPr>
          <w:rFonts w:hint="eastAsia"/>
          <w:sz w:val="22"/>
          <w:szCs w:val="22"/>
          <w:highlight w:val="none"/>
          <w:lang w:val="en-US" w:eastAsia="zh-CN"/>
        </w:rPr>
        <w:t>2、服务要求：</w:t>
      </w:r>
      <w:r>
        <w:rPr>
          <w:rFonts w:hint="eastAsia"/>
          <w:sz w:val="22"/>
          <w:szCs w:val="22"/>
          <w:highlight w:val="none"/>
          <w:u w:val="single"/>
          <w:lang w:val="en-US" w:eastAsia="zh-CN"/>
        </w:rPr>
        <w:t xml:space="preserve">                </w:t>
      </w:r>
      <w:r>
        <w:rPr>
          <w:rFonts w:hint="eastAsia"/>
          <w:sz w:val="22"/>
          <w:szCs w:val="22"/>
          <w:highlight w:val="none"/>
          <w:lang w:eastAsia="zh-CN"/>
        </w:rPr>
        <w:t>。</w:t>
      </w:r>
    </w:p>
    <w:p w14:paraId="6B021490">
      <w:pPr>
        <w:pStyle w:val="3"/>
        <w:spacing w:line="360" w:lineRule="auto"/>
        <w:ind w:left="0" w:leftChars="0" w:firstLine="0" w:firstLineChars="0"/>
        <w:rPr>
          <w:rFonts w:hint="eastAsia"/>
          <w:sz w:val="22"/>
          <w:szCs w:val="22"/>
          <w:highlight w:val="none"/>
          <w:lang w:eastAsia="zh-CN"/>
        </w:rPr>
      </w:pPr>
      <w:r>
        <w:rPr>
          <w:rFonts w:hint="eastAsia"/>
          <w:sz w:val="22"/>
          <w:szCs w:val="22"/>
          <w:highlight w:val="none"/>
          <w:lang w:val="en-US" w:eastAsia="zh-CN"/>
        </w:rPr>
        <w:t>3、验    收：</w:t>
      </w:r>
      <w:r>
        <w:rPr>
          <w:rFonts w:hint="eastAsia"/>
          <w:sz w:val="22"/>
          <w:szCs w:val="22"/>
          <w:highlight w:val="none"/>
          <w:u w:val="single"/>
          <w:lang w:val="en-US" w:eastAsia="zh-CN"/>
        </w:rPr>
        <w:t xml:space="preserve">                </w:t>
      </w:r>
      <w:r>
        <w:rPr>
          <w:rFonts w:hint="eastAsia"/>
          <w:sz w:val="22"/>
          <w:szCs w:val="22"/>
          <w:highlight w:val="none"/>
          <w:lang w:eastAsia="zh-CN"/>
        </w:rPr>
        <w:t>。</w:t>
      </w:r>
    </w:p>
    <w:p w14:paraId="00DE5088">
      <w:pPr>
        <w:pStyle w:val="3"/>
        <w:spacing w:line="360" w:lineRule="auto"/>
        <w:ind w:left="0" w:leftChars="0" w:firstLine="0" w:firstLineChars="0"/>
        <w:rPr>
          <w:rFonts w:hint="eastAsia"/>
          <w:b/>
          <w:bCs/>
          <w:sz w:val="22"/>
          <w:szCs w:val="22"/>
          <w:highlight w:val="none"/>
          <w:lang w:eastAsia="zh-CN"/>
        </w:rPr>
      </w:pPr>
      <w:r>
        <w:rPr>
          <w:rFonts w:hint="eastAsia"/>
          <w:sz w:val="22"/>
          <w:szCs w:val="22"/>
          <w:highlight w:val="none"/>
          <w:lang w:val="en-US" w:eastAsia="zh-CN"/>
        </w:rPr>
        <w:t>4、售后服务：</w:t>
      </w:r>
      <w:r>
        <w:rPr>
          <w:rFonts w:hint="eastAsia"/>
          <w:sz w:val="22"/>
          <w:szCs w:val="22"/>
          <w:highlight w:val="none"/>
          <w:u w:val="single"/>
          <w:lang w:val="en-US" w:eastAsia="zh-CN"/>
        </w:rPr>
        <w:t xml:space="preserve">                </w:t>
      </w:r>
      <w:r>
        <w:rPr>
          <w:rFonts w:hint="eastAsia"/>
          <w:sz w:val="22"/>
          <w:szCs w:val="22"/>
          <w:highlight w:val="none"/>
          <w:lang w:eastAsia="zh-CN"/>
        </w:rPr>
        <w:t>。</w:t>
      </w:r>
    </w:p>
    <w:p w14:paraId="5C5A4CCC">
      <w:pPr>
        <w:spacing w:line="360" w:lineRule="auto"/>
        <w:rPr>
          <w:rFonts w:hint="eastAsia"/>
          <w:sz w:val="22"/>
          <w:szCs w:val="22"/>
          <w:highlight w:val="none"/>
          <w:lang w:eastAsia="zh-CN"/>
        </w:rPr>
      </w:pPr>
      <w:r>
        <w:rPr>
          <w:rFonts w:hint="eastAsia"/>
          <w:sz w:val="22"/>
          <w:szCs w:val="22"/>
          <w:highlight w:val="none"/>
          <w:lang w:eastAsia="zh-CN"/>
        </w:rPr>
        <w:t>四、合同金额</w:t>
      </w:r>
    </w:p>
    <w:p w14:paraId="23F13421">
      <w:pPr>
        <w:spacing w:line="360" w:lineRule="auto"/>
        <w:rPr>
          <w:rFonts w:hint="eastAsia"/>
          <w:sz w:val="22"/>
          <w:szCs w:val="22"/>
          <w:highlight w:val="none"/>
          <w:lang w:eastAsia="zh-CN"/>
        </w:rPr>
      </w:pPr>
      <w:r>
        <w:rPr>
          <w:rFonts w:hint="eastAsia"/>
          <w:sz w:val="22"/>
          <w:szCs w:val="22"/>
          <w:highlight w:val="none"/>
          <w:lang w:eastAsia="zh-CN"/>
        </w:rPr>
        <w:t>合同金额为人民币</w:t>
      </w:r>
      <w:r>
        <w:rPr>
          <w:rFonts w:hint="eastAsia"/>
          <w:sz w:val="22"/>
          <w:szCs w:val="22"/>
          <w:highlight w:val="none"/>
          <w:u w:val="single"/>
          <w:lang w:val="en-US" w:eastAsia="zh-CN"/>
        </w:rPr>
        <w:t xml:space="preserve">       </w:t>
      </w:r>
      <w:r>
        <w:rPr>
          <w:rFonts w:hint="eastAsia"/>
          <w:sz w:val="22"/>
          <w:szCs w:val="22"/>
          <w:highlight w:val="none"/>
          <w:lang w:eastAsia="zh-CN"/>
        </w:rPr>
        <w:t>元，大写：</w:t>
      </w:r>
      <w:r>
        <w:rPr>
          <w:rFonts w:hint="eastAsia"/>
          <w:sz w:val="22"/>
          <w:szCs w:val="22"/>
          <w:highlight w:val="none"/>
          <w:u w:val="single"/>
          <w:lang w:val="en-US" w:eastAsia="zh-CN"/>
        </w:rPr>
        <w:t xml:space="preserve">       </w:t>
      </w:r>
      <w:r>
        <w:rPr>
          <w:rFonts w:hint="eastAsia"/>
          <w:sz w:val="22"/>
          <w:szCs w:val="22"/>
          <w:highlight w:val="none"/>
          <w:lang w:val="en-US" w:eastAsia="zh-CN"/>
        </w:rPr>
        <w:t xml:space="preserve"> </w:t>
      </w:r>
      <w:r>
        <w:rPr>
          <w:rFonts w:hint="eastAsia"/>
          <w:sz w:val="22"/>
          <w:szCs w:val="22"/>
          <w:highlight w:val="none"/>
          <w:lang w:eastAsia="zh-CN"/>
        </w:rPr>
        <w:t>。</w:t>
      </w:r>
    </w:p>
    <w:p w14:paraId="63FB6DA5">
      <w:pPr>
        <w:spacing w:line="360" w:lineRule="auto"/>
        <w:rPr>
          <w:rFonts w:hint="eastAsia"/>
          <w:sz w:val="22"/>
          <w:szCs w:val="22"/>
          <w:highlight w:val="none"/>
          <w:lang w:eastAsia="zh-CN"/>
        </w:rPr>
      </w:pPr>
      <w:r>
        <w:rPr>
          <w:rFonts w:hint="eastAsia"/>
          <w:sz w:val="22"/>
          <w:szCs w:val="22"/>
          <w:highlight w:val="none"/>
          <w:u w:val="none"/>
          <w:lang w:eastAsia="zh-CN"/>
        </w:rPr>
        <w:t>分项价格如下：</w:t>
      </w:r>
      <w:r>
        <w:rPr>
          <w:rFonts w:hint="eastAsia"/>
          <w:sz w:val="22"/>
          <w:szCs w:val="22"/>
          <w:highlight w:val="none"/>
          <w:u w:val="single"/>
          <w:lang w:val="en-US" w:eastAsia="zh-CN"/>
        </w:rPr>
        <w:t xml:space="preserve">  </w:t>
      </w:r>
      <w:r>
        <w:rPr>
          <w:rFonts w:hint="eastAsia"/>
          <w:sz w:val="22"/>
          <w:szCs w:val="22"/>
          <w:highlight w:val="none"/>
          <w:u w:val="single"/>
          <w:lang w:eastAsia="zh-CN"/>
        </w:rPr>
        <w:t>（同投标文件中投标报价一致）</w:t>
      </w:r>
      <w:r>
        <w:rPr>
          <w:rFonts w:hint="eastAsia"/>
          <w:sz w:val="22"/>
          <w:szCs w:val="22"/>
          <w:highlight w:val="none"/>
          <w:u w:val="single"/>
          <w:lang w:val="en-US" w:eastAsia="zh-CN"/>
        </w:rPr>
        <w:t xml:space="preserve">   </w:t>
      </w:r>
      <w:r>
        <w:rPr>
          <w:rFonts w:hint="eastAsia"/>
          <w:sz w:val="22"/>
          <w:szCs w:val="22"/>
          <w:highlight w:val="none"/>
          <w:u w:val="none"/>
          <w:lang w:val="en-US" w:eastAsia="zh-CN"/>
        </w:rPr>
        <w:t xml:space="preserve"> </w:t>
      </w:r>
      <w:r>
        <w:rPr>
          <w:rFonts w:hint="eastAsia"/>
          <w:sz w:val="22"/>
          <w:szCs w:val="22"/>
          <w:highlight w:val="none"/>
          <w:lang w:eastAsia="zh-CN"/>
        </w:rPr>
        <w:t>。</w:t>
      </w:r>
    </w:p>
    <w:p w14:paraId="4027471F">
      <w:pPr>
        <w:spacing w:line="360" w:lineRule="auto"/>
        <w:rPr>
          <w:rFonts w:hint="eastAsia"/>
          <w:sz w:val="22"/>
          <w:szCs w:val="22"/>
          <w:highlight w:val="none"/>
          <w:lang w:eastAsia="zh-CN"/>
        </w:rPr>
      </w:pPr>
      <w:r>
        <w:rPr>
          <w:rFonts w:hint="eastAsia"/>
          <w:sz w:val="22"/>
          <w:szCs w:val="22"/>
          <w:highlight w:val="none"/>
          <w:lang w:eastAsia="zh-CN"/>
        </w:rPr>
        <w:t>乙方开户单位：</w:t>
      </w:r>
    </w:p>
    <w:p w14:paraId="6B55CA74">
      <w:pPr>
        <w:spacing w:line="360" w:lineRule="auto"/>
        <w:rPr>
          <w:rFonts w:hint="eastAsia"/>
          <w:sz w:val="22"/>
          <w:szCs w:val="22"/>
          <w:highlight w:val="none"/>
          <w:lang w:eastAsia="zh-CN"/>
        </w:rPr>
      </w:pPr>
      <w:r>
        <w:rPr>
          <w:rFonts w:hint="eastAsia"/>
          <w:sz w:val="22"/>
          <w:szCs w:val="22"/>
          <w:highlight w:val="none"/>
          <w:lang w:eastAsia="zh-CN"/>
        </w:rPr>
        <w:t>开户银行：</w:t>
      </w:r>
      <w:r>
        <w:rPr>
          <w:rFonts w:hint="eastAsia"/>
          <w:sz w:val="22"/>
          <w:szCs w:val="22"/>
          <w:highlight w:val="none"/>
          <w:lang w:val="en-US" w:eastAsia="zh-CN"/>
        </w:rPr>
        <w:t xml:space="preserve">             </w:t>
      </w:r>
      <w:r>
        <w:rPr>
          <w:rFonts w:hint="eastAsia"/>
          <w:sz w:val="22"/>
          <w:szCs w:val="22"/>
          <w:highlight w:val="none"/>
          <w:lang w:eastAsia="zh-CN"/>
        </w:rPr>
        <w:t>帐号：</w:t>
      </w:r>
    </w:p>
    <w:p w14:paraId="6FA17B73">
      <w:pPr>
        <w:spacing w:line="360" w:lineRule="auto"/>
        <w:rPr>
          <w:rFonts w:hint="eastAsia"/>
          <w:b/>
          <w:bCs/>
          <w:sz w:val="22"/>
          <w:szCs w:val="22"/>
          <w:highlight w:val="none"/>
          <w:lang w:eastAsia="zh-CN"/>
        </w:rPr>
      </w:pPr>
      <w:r>
        <w:rPr>
          <w:rFonts w:hint="eastAsia"/>
          <w:b/>
          <w:bCs/>
          <w:sz w:val="22"/>
          <w:szCs w:val="22"/>
          <w:highlight w:val="none"/>
          <w:lang w:eastAsia="zh-CN"/>
        </w:rPr>
        <w:t>五、付款途径</w:t>
      </w:r>
    </w:p>
    <w:p w14:paraId="07E907D5">
      <w:pPr>
        <w:spacing w:line="360" w:lineRule="auto"/>
        <w:rPr>
          <w:rFonts w:hint="eastAsia"/>
          <w:sz w:val="22"/>
          <w:szCs w:val="22"/>
          <w:highlight w:val="none"/>
          <w:lang w:eastAsia="zh-CN"/>
        </w:rPr>
      </w:pPr>
      <w:r>
        <w:rPr>
          <w:rFonts w:hint="eastAsia"/>
          <w:sz w:val="22"/>
          <w:szCs w:val="22"/>
          <w:highlight w:val="none"/>
          <w:lang w:eastAsia="zh-CN"/>
        </w:rPr>
        <w:t>□国库支付☑甲方支付</w:t>
      </w:r>
    </w:p>
    <w:p w14:paraId="61796F93">
      <w:pPr>
        <w:spacing w:line="360" w:lineRule="auto"/>
        <w:rPr>
          <w:rFonts w:hint="eastAsia"/>
          <w:sz w:val="22"/>
          <w:szCs w:val="22"/>
          <w:highlight w:val="none"/>
          <w:lang w:eastAsia="zh-CN"/>
        </w:rPr>
      </w:pPr>
      <w:r>
        <w:rPr>
          <w:rFonts w:hint="eastAsia"/>
          <w:sz w:val="22"/>
          <w:szCs w:val="22"/>
          <w:highlight w:val="none"/>
          <w:lang w:eastAsia="zh-CN"/>
        </w:rPr>
        <w:t>甲方应按合同约定的付款期限支付至乙方账户。</w:t>
      </w:r>
    </w:p>
    <w:p w14:paraId="7B684E05">
      <w:pPr>
        <w:numPr>
          <w:ilvl w:val="0"/>
          <w:numId w:val="2"/>
        </w:numPr>
        <w:spacing w:line="360" w:lineRule="auto"/>
        <w:rPr>
          <w:rFonts w:hint="eastAsia"/>
          <w:b/>
          <w:bCs/>
          <w:sz w:val="22"/>
          <w:szCs w:val="22"/>
          <w:highlight w:val="none"/>
          <w:lang w:eastAsia="zh-CN"/>
        </w:rPr>
      </w:pPr>
      <w:r>
        <w:rPr>
          <w:rFonts w:hint="eastAsia"/>
          <w:b/>
          <w:bCs/>
          <w:sz w:val="22"/>
          <w:szCs w:val="22"/>
          <w:highlight w:val="none"/>
          <w:lang w:eastAsia="zh-CN"/>
        </w:rPr>
        <w:t>付款方式:</w:t>
      </w:r>
    </w:p>
    <w:p w14:paraId="78320B9D">
      <w:pPr>
        <w:spacing w:line="360" w:lineRule="auto"/>
        <w:ind w:firstLine="440" w:firstLineChars="200"/>
        <w:rPr>
          <w:rFonts w:hint="eastAsia"/>
          <w:sz w:val="22"/>
          <w:szCs w:val="22"/>
          <w:highlight w:val="none"/>
          <w:lang w:val="en-US" w:eastAsia="zh-CN"/>
        </w:rPr>
      </w:pPr>
      <w:r>
        <w:rPr>
          <w:rFonts w:hint="eastAsia"/>
          <w:sz w:val="22"/>
          <w:szCs w:val="22"/>
          <w:highlight w:val="none"/>
          <w:lang w:val="en-US" w:eastAsia="zh-CN"/>
        </w:rPr>
        <w:t>1、</w:t>
      </w:r>
      <w:r>
        <w:rPr>
          <w:rFonts w:hint="eastAsia"/>
          <w:sz w:val="22"/>
          <w:szCs w:val="22"/>
          <w:highlight w:val="none"/>
          <w:lang w:eastAsia="zh-CN"/>
        </w:rPr>
        <w:t>合同签订后，按照合同约定完成50%二级以上医疗机构所有服务内容，并经甲方确认后，达到付款条件起15日内，支付合同总金额的50.00%。</w:t>
      </w:r>
    </w:p>
    <w:p w14:paraId="6373FDDE">
      <w:pPr>
        <w:numPr>
          <w:ilvl w:val="0"/>
          <w:numId w:val="0"/>
        </w:numPr>
        <w:spacing w:line="360" w:lineRule="auto"/>
        <w:ind w:leftChars="0" w:firstLine="440" w:firstLineChars="200"/>
        <w:rPr>
          <w:rFonts w:hint="eastAsia" w:ascii="宋体" w:hAnsi="宋体" w:eastAsia="宋体" w:cs="宋体"/>
          <w:sz w:val="22"/>
          <w:szCs w:val="22"/>
          <w:highlight w:val="none"/>
          <w:u w:val="none"/>
          <w:lang w:val="en-US" w:eastAsia="zh-CN"/>
        </w:rPr>
      </w:pPr>
      <w:r>
        <w:rPr>
          <w:rFonts w:hint="eastAsia" w:ascii="宋体" w:hAnsi="宋体" w:eastAsia="宋体" w:cs="宋体"/>
          <w:sz w:val="22"/>
          <w:szCs w:val="22"/>
          <w:highlight w:val="none"/>
          <w:u w:val="none"/>
          <w:lang w:val="en-US" w:eastAsia="zh-CN"/>
        </w:rPr>
        <w:t>2、按照合同约定完成85%医疗机构服务内容，并经甲方确认后，达到付款条件起15日内，支付合同总金额的35.00%。</w:t>
      </w:r>
    </w:p>
    <w:p w14:paraId="70C71CE3">
      <w:pPr>
        <w:spacing w:line="360" w:lineRule="auto"/>
        <w:ind w:firstLine="440" w:firstLineChars="200"/>
        <w:rPr>
          <w:rFonts w:hint="default"/>
          <w:lang w:val="en-US" w:eastAsia="zh-CN"/>
        </w:rPr>
      </w:pPr>
      <w:r>
        <w:rPr>
          <w:rFonts w:hint="eastAsia" w:ascii="宋体" w:hAnsi="宋体" w:eastAsia="宋体" w:cs="宋体"/>
          <w:sz w:val="22"/>
          <w:szCs w:val="22"/>
          <w:highlight w:val="none"/>
          <w:u w:val="none"/>
          <w:lang w:val="en-US" w:eastAsia="zh-CN"/>
        </w:rPr>
        <w:t>3、完成剩余二级以上医疗机构服务内容，并经甲方验收合格后，达到付款条件起15日内，支付合同总金额的15.00%。</w:t>
      </w:r>
    </w:p>
    <w:p w14:paraId="3B05BEA2">
      <w:pPr>
        <w:numPr>
          <w:ilvl w:val="0"/>
          <w:numId w:val="0"/>
        </w:numPr>
        <w:spacing w:line="360" w:lineRule="auto"/>
        <w:ind w:leftChars="0" w:firstLine="440" w:firstLineChars="200"/>
        <w:rPr>
          <w:rFonts w:hint="eastAsia"/>
          <w:sz w:val="22"/>
          <w:szCs w:val="22"/>
          <w:highlight w:val="none"/>
          <w:u w:val="none"/>
          <w:lang w:val="en-US" w:eastAsia="zh-CN"/>
        </w:rPr>
      </w:pPr>
      <w:r>
        <w:rPr>
          <w:rFonts w:hint="eastAsia"/>
          <w:sz w:val="22"/>
          <w:szCs w:val="22"/>
          <w:highlight w:val="none"/>
          <w:u w:val="none"/>
          <w:lang w:val="en-US" w:eastAsia="zh-CN"/>
        </w:rPr>
        <w:t>4、合同总价一次包死，不受市场价格变化的影响，并作为结算的唯一依据。</w:t>
      </w:r>
    </w:p>
    <w:p w14:paraId="3B872194">
      <w:pPr>
        <w:numPr>
          <w:ilvl w:val="0"/>
          <w:numId w:val="2"/>
        </w:numPr>
        <w:spacing w:line="360" w:lineRule="auto"/>
        <w:ind w:left="0" w:leftChars="0" w:firstLine="0" w:firstLineChars="0"/>
        <w:rPr>
          <w:rFonts w:hint="eastAsia"/>
          <w:b/>
          <w:bCs/>
          <w:highlight w:val="none"/>
          <w:lang w:eastAsia="zh-CN"/>
        </w:rPr>
      </w:pPr>
      <w:r>
        <w:rPr>
          <w:rFonts w:hint="eastAsia"/>
          <w:b/>
          <w:bCs/>
          <w:sz w:val="22"/>
          <w:szCs w:val="22"/>
          <w:highlight w:val="none"/>
          <w:lang w:eastAsia="zh-CN"/>
        </w:rPr>
        <w:t>服务期限和地点</w:t>
      </w:r>
    </w:p>
    <w:p w14:paraId="7F20E04E">
      <w:pPr>
        <w:spacing w:line="360" w:lineRule="auto"/>
        <w:ind w:firstLine="220" w:firstLineChars="100"/>
        <w:rPr>
          <w:rFonts w:hint="eastAsia"/>
          <w:sz w:val="22"/>
          <w:szCs w:val="22"/>
          <w:highlight w:val="none"/>
          <w:lang w:eastAsia="zh-CN"/>
        </w:rPr>
      </w:pPr>
      <w:r>
        <w:rPr>
          <w:rFonts w:hint="eastAsia"/>
          <w:sz w:val="22"/>
          <w:szCs w:val="22"/>
          <w:highlight w:val="none"/>
          <w:lang w:eastAsia="zh-CN"/>
        </w:rPr>
        <w:t>1、服务期限：</w:t>
      </w:r>
      <w:r>
        <w:rPr>
          <w:rFonts w:hint="eastAsia"/>
          <w:sz w:val="22"/>
          <w:szCs w:val="22"/>
          <w:highlight w:val="none"/>
          <w:u w:val="single"/>
          <w:lang w:val="en-US" w:eastAsia="zh-CN"/>
        </w:rPr>
        <w:t>本项目在合同签订后3个月内完成整体验收。</w:t>
      </w:r>
    </w:p>
    <w:p w14:paraId="2765AFC0">
      <w:pPr>
        <w:spacing w:line="360" w:lineRule="auto"/>
        <w:ind w:firstLine="220" w:firstLineChars="100"/>
        <w:rPr>
          <w:rFonts w:hint="default"/>
          <w:sz w:val="22"/>
          <w:szCs w:val="22"/>
          <w:highlight w:val="none"/>
          <w:u w:val="single"/>
          <w:lang w:val="en-US" w:eastAsia="zh-CN"/>
        </w:rPr>
      </w:pPr>
      <w:r>
        <w:rPr>
          <w:rFonts w:hint="eastAsia"/>
          <w:sz w:val="22"/>
          <w:szCs w:val="22"/>
          <w:highlight w:val="none"/>
          <w:lang w:eastAsia="zh-CN"/>
        </w:rPr>
        <w:t>2、服务地点：</w:t>
      </w:r>
      <w:r>
        <w:rPr>
          <w:rFonts w:hint="eastAsia"/>
          <w:sz w:val="22"/>
          <w:szCs w:val="22"/>
          <w:highlight w:val="none"/>
          <w:u w:val="single"/>
          <w:lang w:val="en-US" w:eastAsia="zh-CN"/>
        </w:rPr>
        <w:t xml:space="preserve"> 招标人指定地点    </w:t>
      </w:r>
    </w:p>
    <w:p w14:paraId="015903D2">
      <w:pPr>
        <w:spacing w:line="360" w:lineRule="auto"/>
        <w:rPr>
          <w:rFonts w:hint="eastAsia"/>
          <w:b/>
          <w:bCs/>
          <w:sz w:val="22"/>
          <w:szCs w:val="22"/>
          <w:highlight w:val="none"/>
          <w:lang w:eastAsia="zh-CN"/>
        </w:rPr>
      </w:pPr>
      <w:r>
        <w:rPr>
          <w:rFonts w:hint="eastAsia"/>
          <w:b/>
          <w:bCs/>
          <w:sz w:val="22"/>
          <w:szCs w:val="22"/>
          <w:highlight w:val="none"/>
          <w:lang w:eastAsia="zh-CN"/>
        </w:rPr>
        <w:t>八、不可抗力</w:t>
      </w:r>
    </w:p>
    <w:p w14:paraId="4A8C49D6">
      <w:pPr>
        <w:spacing w:line="360" w:lineRule="auto"/>
        <w:ind w:firstLine="440" w:firstLineChars="200"/>
        <w:rPr>
          <w:rFonts w:hint="eastAsia"/>
          <w:sz w:val="22"/>
          <w:szCs w:val="22"/>
          <w:highlight w:val="none"/>
          <w:lang w:eastAsia="zh-CN"/>
        </w:rPr>
      </w:pPr>
      <w:r>
        <w:rPr>
          <w:rFonts w:hint="eastAsia"/>
          <w:sz w:val="22"/>
          <w:szCs w:val="22"/>
          <w:highlight w:val="none"/>
          <w:lang w:eastAsia="zh-CN"/>
        </w:rPr>
        <w:t>1、不可抗力指下列事件：战争、动乱、瘟疫、严重火灾、洪水、地震、风暴或其他自然灾害，以及本合同各方不可预见、不可防止并不能避免或克服的一切其他因素及事件。</w:t>
      </w:r>
    </w:p>
    <w:p w14:paraId="2AF4EFDE">
      <w:pPr>
        <w:spacing w:line="360" w:lineRule="auto"/>
        <w:ind w:firstLine="440" w:firstLineChars="200"/>
        <w:rPr>
          <w:rFonts w:hint="eastAsia"/>
          <w:sz w:val="22"/>
          <w:szCs w:val="22"/>
          <w:highlight w:val="none"/>
          <w:lang w:eastAsia="zh-CN"/>
        </w:rPr>
      </w:pPr>
      <w:r>
        <w:rPr>
          <w:rFonts w:hint="eastAsia"/>
          <w:sz w:val="22"/>
          <w:szCs w:val="22"/>
          <w:highlight w:val="none"/>
          <w:lang w:eastAsia="zh-CN"/>
        </w:rPr>
        <w:t>2、任何一方因不可抗力不能履行本合同规定的全部或部分义务，该方应尽快通知另一方，并须在不可抗力发生后三日内以书面形式向另一方提供详细情况报告及不可抗力对履行本合同的影响程度的说明。就上述不可抗力的发生须由受到不可抗力影响的一方负责同时提供由公证机关做出的公证证明。</w:t>
      </w:r>
    </w:p>
    <w:p w14:paraId="3B37E8B6">
      <w:pPr>
        <w:spacing w:line="360" w:lineRule="auto"/>
        <w:ind w:firstLine="440" w:firstLineChars="200"/>
        <w:rPr>
          <w:rFonts w:hint="eastAsia"/>
          <w:sz w:val="22"/>
          <w:szCs w:val="22"/>
          <w:highlight w:val="none"/>
          <w:lang w:eastAsia="zh-CN"/>
        </w:rPr>
      </w:pPr>
      <w:r>
        <w:rPr>
          <w:rFonts w:hint="eastAsia"/>
          <w:sz w:val="22"/>
          <w:szCs w:val="22"/>
          <w:highlight w:val="none"/>
          <w:lang w:eastAsia="zh-CN"/>
        </w:rPr>
        <w:t>3、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14:paraId="3210D4D3">
      <w:pPr>
        <w:spacing w:line="360" w:lineRule="auto"/>
        <w:ind w:firstLine="440" w:firstLineChars="200"/>
        <w:rPr>
          <w:rFonts w:hint="eastAsia"/>
          <w:sz w:val="22"/>
          <w:szCs w:val="22"/>
          <w:highlight w:val="none"/>
          <w:lang w:eastAsia="zh-CN"/>
        </w:rPr>
      </w:pPr>
      <w:r>
        <w:rPr>
          <w:rFonts w:hint="eastAsia"/>
          <w:sz w:val="22"/>
          <w:szCs w:val="22"/>
          <w:highlight w:val="none"/>
          <w:lang w:eastAsia="zh-CN"/>
        </w:rPr>
        <w:t>4、合同各方应根据不可抗力对本合同履行的影响程度，协商确定是否终止本合同，或是继续履行本合同。</w:t>
      </w:r>
    </w:p>
    <w:p w14:paraId="70BD0EC3">
      <w:pPr>
        <w:spacing w:line="360" w:lineRule="auto"/>
        <w:rPr>
          <w:rFonts w:hint="eastAsia"/>
          <w:b/>
          <w:bCs/>
          <w:sz w:val="22"/>
          <w:szCs w:val="22"/>
          <w:highlight w:val="none"/>
          <w:lang w:eastAsia="zh-CN"/>
        </w:rPr>
      </w:pPr>
      <w:r>
        <w:rPr>
          <w:rFonts w:hint="eastAsia"/>
          <w:b/>
          <w:bCs/>
          <w:sz w:val="22"/>
          <w:szCs w:val="22"/>
          <w:highlight w:val="none"/>
          <w:lang w:eastAsia="zh-CN"/>
        </w:rPr>
        <w:t>九、联系方式</w:t>
      </w:r>
    </w:p>
    <w:p w14:paraId="52B97F43">
      <w:pPr>
        <w:spacing w:line="360" w:lineRule="auto"/>
        <w:ind w:firstLine="440" w:firstLineChars="200"/>
        <w:rPr>
          <w:rFonts w:hint="eastAsia"/>
          <w:sz w:val="22"/>
          <w:szCs w:val="22"/>
          <w:highlight w:val="none"/>
          <w:lang w:eastAsia="zh-CN"/>
        </w:rPr>
      </w:pPr>
      <w:r>
        <w:rPr>
          <w:rFonts w:hint="eastAsia"/>
          <w:sz w:val="22"/>
          <w:szCs w:val="22"/>
          <w:highlight w:val="none"/>
          <w:lang w:eastAsia="zh-CN"/>
        </w:rPr>
        <w:t>合同双方发出与本合同有关的通知或回复，应以专人送递、传真或特快专递方式发出；如果以专人送递或特快专递发送，以送达至对方的住所地或通讯联络地为送达；如果以传真方式发送，发件人在收到传真报告后视为送达；如果采用电话或电子邮件的方式，则应在发送后由对方以书面方式予以确认。</w:t>
      </w:r>
    </w:p>
    <w:p w14:paraId="3835155D">
      <w:pPr>
        <w:spacing w:line="360" w:lineRule="auto"/>
        <w:rPr>
          <w:rFonts w:hint="eastAsia"/>
          <w:b/>
          <w:bCs/>
          <w:sz w:val="22"/>
          <w:szCs w:val="22"/>
          <w:highlight w:val="none"/>
          <w:lang w:eastAsia="zh-CN"/>
        </w:rPr>
      </w:pPr>
      <w:r>
        <w:rPr>
          <w:rFonts w:hint="eastAsia"/>
          <w:b/>
          <w:bCs/>
          <w:sz w:val="22"/>
          <w:szCs w:val="22"/>
          <w:highlight w:val="none"/>
          <w:lang w:eastAsia="zh-CN"/>
        </w:rPr>
        <w:t>十、保密条款</w:t>
      </w:r>
    </w:p>
    <w:p w14:paraId="4462E4D7">
      <w:pPr>
        <w:spacing w:line="360" w:lineRule="auto"/>
        <w:ind w:firstLine="440" w:firstLineChars="200"/>
        <w:rPr>
          <w:rFonts w:hint="eastAsia"/>
          <w:sz w:val="22"/>
          <w:szCs w:val="22"/>
          <w:highlight w:val="none"/>
          <w:lang w:eastAsia="zh-CN"/>
        </w:rPr>
      </w:pPr>
      <w:r>
        <w:rPr>
          <w:rFonts w:hint="eastAsia"/>
          <w:sz w:val="22"/>
          <w:szCs w:val="22"/>
          <w:highlight w:val="none"/>
          <w:lang w:eastAsia="zh-CN"/>
        </w:rPr>
        <w:t>1、任何一方对其获知的本合同及附件中其他各方的商业秘密和国家秘密负有保密义务。</w:t>
      </w:r>
    </w:p>
    <w:p w14:paraId="3269C369">
      <w:pPr>
        <w:spacing w:line="360" w:lineRule="auto"/>
        <w:ind w:firstLine="440" w:firstLineChars="200"/>
        <w:rPr>
          <w:rFonts w:hint="eastAsia"/>
          <w:sz w:val="22"/>
          <w:szCs w:val="22"/>
          <w:highlight w:val="none"/>
          <w:lang w:eastAsia="zh-CN"/>
        </w:rPr>
      </w:pPr>
      <w:r>
        <w:rPr>
          <w:rFonts w:hint="eastAsia"/>
          <w:sz w:val="22"/>
          <w:szCs w:val="22"/>
          <w:highlight w:val="none"/>
          <w:lang w:eastAsia="zh-CN"/>
        </w:rPr>
        <w:t>2、乙方进行运维、部署和数据处理等工作，不得对用户的数据进行拷贝、备份等，同时不得对外泄露用户数据资料（包括自然人、法人和其他共享数据）的具体内容。否则由此引起的用户损失、相关社会和法律责任，由乙方负责承担。</w:t>
      </w:r>
    </w:p>
    <w:p w14:paraId="660DF085">
      <w:pPr>
        <w:spacing w:line="360" w:lineRule="auto"/>
        <w:ind w:firstLine="440" w:firstLineChars="200"/>
        <w:rPr>
          <w:rFonts w:hint="eastAsia"/>
          <w:sz w:val="22"/>
          <w:szCs w:val="22"/>
          <w:highlight w:val="none"/>
          <w:lang w:eastAsia="zh-CN"/>
        </w:rPr>
      </w:pPr>
      <w:r>
        <w:rPr>
          <w:rFonts w:hint="eastAsia"/>
          <w:sz w:val="22"/>
          <w:szCs w:val="22"/>
          <w:highlight w:val="none"/>
          <w:lang w:val="en-US" w:eastAsia="zh-CN"/>
        </w:rPr>
        <w:t>3、乙方</w:t>
      </w:r>
      <w:r>
        <w:rPr>
          <w:rFonts w:hint="eastAsia"/>
          <w:sz w:val="22"/>
          <w:szCs w:val="22"/>
          <w:highlight w:val="none"/>
          <w:lang w:eastAsia="zh-CN"/>
        </w:rPr>
        <w:t>必须协助用户采取各种管理和技术的手段，配备专业安全服务资质的工程师跟进该项目，确保用户的数据不外传和泄露。</w:t>
      </w:r>
    </w:p>
    <w:p w14:paraId="6520820E">
      <w:pPr>
        <w:spacing w:line="360" w:lineRule="auto"/>
        <w:ind w:firstLine="440" w:firstLineChars="200"/>
        <w:rPr>
          <w:rFonts w:hint="eastAsia"/>
          <w:sz w:val="22"/>
          <w:szCs w:val="22"/>
          <w:highlight w:val="none"/>
          <w:lang w:eastAsia="zh-CN"/>
        </w:rPr>
      </w:pPr>
      <w:r>
        <w:rPr>
          <w:rFonts w:hint="eastAsia"/>
          <w:sz w:val="22"/>
          <w:szCs w:val="22"/>
          <w:highlight w:val="none"/>
          <w:lang w:val="en-US" w:eastAsia="zh-CN"/>
        </w:rPr>
        <w:t>4</w:t>
      </w:r>
      <w:r>
        <w:rPr>
          <w:rFonts w:hint="eastAsia"/>
          <w:sz w:val="22"/>
          <w:szCs w:val="22"/>
          <w:highlight w:val="none"/>
          <w:lang w:eastAsia="zh-CN"/>
        </w:rPr>
        <w:t>、合同签订后，双方另行签订“保密协议”，进一步落实安全保密要求，明确相关责任。</w:t>
      </w:r>
    </w:p>
    <w:p w14:paraId="2A8B6E81">
      <w:pPr>
        <w:spacing w:line="360" w:lineRule="auto"/>
        <w:ind w:firstLine="440" w:firstLineChars="200"/>
        <w:rPr>
          <w:rFonts w:hint="eastAsia"/>
          <w:sz w:val="22"/>
          <w:szCs w:val="22"/>
          <w:highlight w:val="none"/>
          <w:lang w:eastAsia="zh-CN"/>
        </w:rPr>
      </w:pPr>
      <w:r>
        <w:rPr>
          <w:rFonts w:hint="eastAsia"/>
          <w:sz w:val="22"/>
          <w:szCs w:val="22"/>
          <w:highlight w:val="none"/>
          <w:lang w:val="en-US" w:eastAsia="zh-CN"/>
        </w:rPr>
        <w:t>5、</w:t>
      </w:r>
      <w:r>
        <w:rPr>
          <w:rFonts w:hint="eastAsia"/>
          <w:sz w:val="22"/>
          <w:szCs w:val="22"/>
          <w:highlight w:val="none"/>
          <w:lang w:eastAsia="zh-CN"/>
        </w:rPr>
        <w:t>此外的其他情形下，除非法律、法规另有规定或得到本合同之其他各方的书面许可，任何一方不得向第三人泄露前款规定的商业秘密和国家秘密。保密期限自任何一方获知该商业秘密和国家秘密之日起至本条规定的秘密成为公众信息之日止。</w:t>
      </w:r>
    </w:p>
    <w:p w14:paraId="0D2584EA">
      <w:pPr>
        <w:spacing w:line="360" w:lineRule="auto"/>
        <w:rPr>
          <w:rFonts w:hint="eastAsia"/>
          <w:sz w:val="22"/>
          <w:szCs w:val="22"/>
          <w:highlight w:val="none"/>
          <w:lang w:eastAsia="zh-CN"/>
        </w:rPr>
      </w:pPr>
      <w:r>
        <w:rPr>
          <w:rFonts w:hint="eastAsia"/>
          <w:b/>
          <w:bCs/>
          <w:sz w:val="22"/>
          <w:szCs w:val="22"/>
          <w:highlight w:val="none"/>
          <w:lang w:eastAsia="zh-CN"/>
        </w:rPr>
        <w:t>十一、合同的解释</w:t>
      </w:r>
    </w:p>
    <w:p w14:paraId="582F80F1">
      <w:pPr>
        <w:spacing w:line="360" w:lineRule="auto"/>
        <w:ind w:firstLine="440" w:firstLineChars="200"/>
        <w:rPr>
          <w:rFonts w:hint="eastAsia"/>
          <w:sz w:val="22"/>
          <w:szCs w:val="22"/>
          <w:highlight w:val="none"/>
          <w:lang w:eastAsia="zh-CN"/>
        </w:rPr>
      </w:pPr>
      <w:r>
        <w:rPr>
          <w:rFonts w:hint="eastAsia"/>
          <w:sz w:val="22"/>
          <w:szCs w:val="22"/>
          <w:highlight w:val="none"/>
          <w:lang w:eastAsia="zh-CN"/>
        </w:rPr>
        <w:t>1、任何一方对本合同及其附件的解释均应遵循诚实信用原则,依照本合同签订时有效的中国法律、法规以及通常的理解进行。</w:t>
      </w:r>
    </w:p>
    <w:p w14:paraId="338EBB83">
      <w:pPr>
        <w:spacing w:line="360" w:lineRule="auto"/>
        <w:ind w:firstLine="440" w:firstLineChars="200"/>
        <w:rPr>
          <w:rFonts w:hint="eastAsia"/>
          <w:sz w:val="22"/>
          <w:szCs w:val="22"/>
          <w:highlight w:val="none"/>
          <w:lang w:eastAsia="zh-CN"/>
        </w:rPr>
      </w:pPr>
      <w:r>
        <w:rPr>
          <w:rFonts w:hint="eastAsia"/>
          <w:sz w:val="22"/>
          <w:szCs w:val="22"/>
          <w:highlight w:val="none"/>
          <w:lang w:eastAsia="zh-CN"/>
        </w:rPr>
        <w:t>2、本合同标题仅供查阅方便，并非对本合同的诠释或解释；本合同中以日表述的时间期限均指日历日。</w:t>
      </w:r>
    </w:p>
    <w:p w14:paraId="26E108D3">
      <w:pPr>
        <w:spacing w:line="360" w:lineRule="auto"/>
        <w:ind w:firstLine="440" w:firstLineChars="200"/>
        <w:rPr>
          <w:rFonts w:hint="eastAsia"/>
          <w:sz w:val="22"/>
          <w:szCs w:val="22"/>
          <w:highlight w:val="none"/>
          <w:lang w:eastAsia="zh-CN"/>
        </w:rPr>
      </w:pPr>
      <w:r>
        <w:rPr>
          <w:rFonts w:hint="eastAsia"/>
          <w:sz w:val="22"/>
          <w:szCs w:val="22"/>
          <w:highlight w:val="none"/>
          <w:lang w:eastAsia="zh-CN"/>
        </w:rPr>
        <w:t>3、对本合同的任何解释均应以书面做出。</w:t>
      </w:r>
    </w:p>
    <w:p w14:paraId="45C6CF55">
      <w:pPr>
        <w:spacing w:line="360" w:lineRule="auto"/>
        <w:rPr>
          <w:rFonts w:hint="eastAsia"/>
          <w:b/>
          <w:bCs/>
          <w:sz w:val="22"/>
          <w:szCs w:val="22"/>
          <w:highlight w:val="none"/>
          <w:lang w:eastAsia="zh-CN"/>
        </w:rPr>
      </w:pPr>
      <w:r>
        <w:rPr>
          <w:rFonts w:hint="eastAsia"/>
          <w:b/>
          <w:bCs/>
          <w:sz w:val="22"/>
          <w:szCs w:val="22"/>
          <w:highlight w:val="none"/>
          <w:lang w:eastAsia="zh-CN"/>
        </w:rPr>
        <w:t>十二、合同的终止</w:t>
      </w:r>
    </w:p>
    <w:p w14:paraId="0580AB3A">
      <w:pPr>
        <w:spacing w:line="360" w:lineRule="auto"/>
        <w:ind w:firstLine="220" w:firstLineChars="100"/>
        <w:rPr>
          <w:rFonts w:hint="eastAsia"/>
          <w:sz w:val="22"/>
          <w:szCs w:val="22"/>
          <w:highlight w:val="none"/>
          <w:lang w:eastAsia="zh-CN"/>
        </w:rPr>
      </w:pPr>
      <w:r>
        <w:rPr>
          <w:rFonts w:hint="eastAsia"/>
          <w:sz w:val="22"/>
          <w:szCs w:val="22"/>
          <w:highlight w:val="none"/>
          <w:lang w:eastAsia="zh-CN"/>
        </w:rPr>
        <w:t>1、本合同因下列原因而终止：</w:t>
      </w:r>
    </w:p>
    <w:p w14:paraId="0373A78A">
      <w:pPr>
        <w:spacing w:line="360" w:lineRule="auto"/>
        <w:ind w:firstLine="220" w:firstLineChars="100"/>
        <w:rPr>
          <w:rFonts w:hint="eastAsia"/>
          <w:sz w:val="22"/>
          <w:szCs w:val="22"/>
          <w:highlight w:val="none"/>
          <w:lang w:eastAsia="zh-CN"/>
        </w:rPr>
      </w:pPr>
      <w:r>
        <w:rPr>
          <w:rFonts w:hint="eastAsia"/>
          <w:sz w:val="22"/>
          <w:szCs w:val="22"/>
          <w:highlight w:val="none"/>
          <w:lang w:eastAsia="zh-CN"/>
        </w:rPr>
        <w:t>1）本合同正常履行完毕；</w:t>
      </w:r>
    </w:p>
    <w:p w14:paraId="2FCF58B5">
      <w:pPr>
        <w:spacing w:line="360" w:lineRule="auto"/>
        <w:ind w:firstLine="220" w:firstLineChars="100"/>
        <w:rPr>
          <w:rFonts w:hint="eastAsia"/>
          <w:sz w:val="22"/>
          <w:szCs w:val="22"/>
          <w:highlight w:val="none"/>
          <w:lang w:eastAsia="zh-CN"/>
        </w:rPr>
      </w:pPr>
      <w:r>
        <w:rPr>
          <w:rFonts w:hint="eastAsia"/>
          <w:sz w:val="22"/>
          <w:szCs w:val="22"/>
          <w:highlight w:val="none"/>
          <w:lang w:eastAsia="zh-CN"/>
        </w:rPr>
        <w:t>2）合同双方协议终止本合同的履行；</w:t>
      </w:r>
    </w:p>
    <w:p w14:paraId="7A446696">
      <w:pPr>
        <w:spacing w:line="360" w:lineRule="auto"/>
        <w:ind w:firstLine="220" w:firstLineChars="100"/>
        <w:rPr>
          <w:rFonts w:hint="eastAsia"/>
          <w:sz w:val="22"/>
          <w:szCs w:val="22"/>
          <w:highlight w:val="none"/>
          <w:lang w:eastAsia="zh-CN"/>
        </w:rPr>
      </w:pPr>
      <w:r>
        <w:rPr>
          <w:rFonts w:hint="eastAsia"/>
          <w:sz w:val="22"/>
          <w:szCs w:val="22"/>
          <w:highlight w:val="none"/>
          <w:lang w:eastAsia="zh-CN"/>
        </w:rPr>
        <w:t>3）不可抗力事件导致本合同无法履行或履行不必要；</w:t>
      </w:r>
    </w:p>
    <w:p w14:paraId="28C082CC">
      <w:pPr>
        <w:spacing w:line="360" w:lineRule="auto"/>
        <w:ind w:firstLine="220" w:firstLineChars="100"/>
        <w:rPr>
          <w:rFonts w:hint="eastAsia"/>
          <w:sz w:val="22"/>
          <w:szCs w:val="22"/>
          <w:highlight w:val="none"/>
          <w:lang w:eastAsia="zh-CN"/>
        </w:rPr>
      </w:pPr>
      <w:r>
        <w:rPr>
          <w:rFonts w:hint="eastAsia"/>
          <w:sz w:val="22"/>
          <w:szCs w:val="22"/>
          <w:highlight w:val="none"/>
          <w:lang w:eastAsia="zh-CN"/>
        </w:rPr>
        <w:t>4）守约方行使解除权，解除本合同。</w:t>
      </w:r>
    </w:p>
    <w:p w14:paraId="003AD955">
      <w:pPr>
        <w:spacing w:line="360" w:lineRule="auto"/>
        <w:ind w:firstLine="220" w:firstLineChars="100"/>
        <w:rPr>
          <w:rFonts w:hint="eastAsia"/>
          <w:sz w:val="22"/>
          <w:szCs w:val="22"/>
          <w:highlight w:val="none"/>
          <w:lang w:eastAsia="zh-CN"/>
        </w:rPr>
      </w:pPr>
      <w:r>
        <w:rPr>
          <w:rFonts w:hint="eastAsia"/>
          <w:sz w:val="22"/>
          <w:szCs w:val="22"/>
          <w:highlight w:val="none"/>
          <w:lang w:eastAsia="zh-CN"/>
        </w:rPr>
        <w:t>2、对本合同终止有过错的一方应赔偿另一方因合同终止而受到的损失（包括不限于合同损失、维护权利的成本或费用），同时按照合同标的额的20%承担违约责任。对合同终止双方均无过错的，则各自承担所受到的损失。</w:t>
      </w:r>
    </w:p>
    <w:p w14:paraId="0C3B343A">
      <w:pPr>
        <w:spacing w:line="360" w:lineRule="auto"/>
        <w:rPr>
          <w:rFonts w:hint="eastAsia"/>
          <w:b/>
          <w:bCs/>
          <w:sz w:val="22"/>
          <w:szCs w:val="22"/>
          <w:highlight w:val="none"/>
          <w:lang w:eastAsia="zh-CN"/>
        </w:rPr>
      </w:pPr>
      <w:r>
        <w:rPr>
          <w:rFonts w:hint="eastAsia"/>
          <w:b/>
          <w:bCs/>
          <w:sz w:val="22"/>
          <w:szCs w:val="22"/>
          <w:highlight w:val="none"/>
          <w:lang w:eastAsia="zh-CN"/>
        </w:rPr>
        <w:t>十三、法律适用</w:t>
      </w:r>
    </w:p>
    <w:p w14:paraId="1E136E97">
      <w:pPr>
        <w:spacing w:line="360" w:lineRule="auto"/>
        <w:ind w:firstLine="440" w:firstLineChars="200"/>
        <w:rPr>
          <w:rFonts w:hint="eastAsia"/>
          <w:sz w:val="22"/>
          <w:szCs w:val="22"/>
          <w:highlight w:val="none"/>
          <w:lang w:eastAsia="zh-CN"/>
        </w:rPr>
      </w:pPr>
      <w:r>
        <w:rPr>
          <w:rFonts w:hint="eastAsia"/>
          <w:sz w:val="22"/>
          <w:szCs w:val="22"/>
          <w:highlight w:val="none"/>
          <w:lang w:eastAsia="zh-CN"/>
        </w:rPr>
        <w:t>1、本合同及附件的订立、效力、解释、履行、争议的解决等适用本合同签订时有效的中华人民共和国法律、法规的有关规定。</w:t>
      </w:r>
    </w:p>
    <w:p w14:paraId="5C9D768A">
      <w:pPr>
        <w:spacing w:line="360" w:lineRule="auto"/>
        <w:ind w:firstLine="440" w:firstLineChars="200"/>
        <w:rPr>
          <w:rFonts w:hint="eastAsia"/>
          <w:sz w:val="22"/>
          <w:szCs w:val="22"/>
          <w:highlight w:val="none"/>
          <w:lang w:eastAsia="zh-CN"/>
        </w:rPr>
      </w:pPr>
      <w:r>
        <w:rPr>
          <w:rFonts w:hint="eastAsia"/>
          <w:sz w:val="22"/>
          <w:szCs w:val="22"/>
          <w:highlight w:val="none"/>
          <w:lang w:eastAsia="zh-CN"/>
        </w:rPr>
        <w:t>2、在本合同履行期间，因中华人民共和国法律、法规、政策的变化致使本合同的部分条款相冲突、无效或失去可强制执行效力时，双方同意将密切合作，尽快修改本合同中相冲突或无效或失去强制执行效力的有关条款。</w:t>
      </w:r>
    </w:p>
    <w:p w14:paraId="39D84F6C">
      <w:pPr>
        <w:spacing w:line="360" w:lineRule="auto"/>
        <w:rPr>
          <w:rFonts w:hint="eastAsia"/>
          <w:b/>
          <w:bCs/>
          <w:sz w:val="22"/>
          <w:szCs w:val="22"/>
          <w:highlight w:val="none"/>
          <w:lang w:eastAsia="zh-CN"/>
        </w:rPr>
      </w:pPr>
      <w:r>
        <w:rPr>
          <w:rFonts w:hint="eastAsia"/>
          <w:b/>
          <w:bCs/>
          <w:sz w:val="22"/>
          <w:szCs w:val="22"/>
          <w:highlight w:val="none"/>
          <w:lang w:eastAsia="zh-CN"/>
        </w:rPr>
        <w:t>十四、权利的保留</w:t>
      </w:r>
    </w:p>
    <w:p w14:paraId="3D6C64DC">
      <w:pPr>
        <w:spacing w:line="360" w:lineRule="auto"/>
        <w:ind w:firstLine="440" w:firstLineChars="200"/>
        <w:rPr>
          <w:rFonts w:hint="eastAsia"/>
          <w:sz w:val="22"/>
          <w:szCs w:val="22"/>
          <w:highlight w:val="none"/>
          <w:lang w:eastAsia="zh-CN"/>
        </w:rPr>
      </w:pPr>
      <w:r>
        <w:rPr>
          <w:rFonts w:hint="eastAsia"/>
          <w:sz w:val="22"/>
          <w:szCs w:val="22"/>
          <w:highlight w:val="none"/>
          <w:lang w:eastAsia="zh-CN"/>
        </w:rPr>
        <w:t>1、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2ED754F3">
      <w:pPr>
        <w:spacing w:line="360" w:lineRule="auto"/>
        <w:ind w:firstLine="440" w:firstLineChars="200"/>
        <w:rPr>
          <w:rFonts w:hint="eastAsia"/>
          <w:sz w:val="22"/>
          <w:szCs w:val="22"/>
          <w:highlight w:val="none"/>
          <w:lang w:eastAsia="zh-CN"/>
        </w:rPr>
      </w:pPr>
      <w:r>
        <w:rPr>
          <w:rFonts w:hint="eastAsia"/>
          <w:sz w:val="22"/>
          <w:szCs w:val="22"/>
          <w:highlight w:val="none"/>
          <w:lang w:eastAsia="zh-CN"/>
        </w:rPr>
        <w:t>2、如果本合同部分条款依据现行有关法律、法规被确认为无效或无法履行，且该部分无效或无法履行的条款不影响本合同其他条款效力的，本合同其他条款继续有效；同时，合同双方应根据现行有关法律、法规对该部分无效或无法履行的条款进行调整，使其依法成为有效条款，并尽量符合本合同所体现的原则和精神。</w:t>
      </w:r>
    </w:p>
    <w:p w14:paraId="22D27BCA">
      <w:pPr>
        <w:spacing w:line="360" w:lineRule="auto"/>
        <w:rPr>
          <w:rFonts w:hint="eastAsia"/>
          <w:b/>
          <w:bCs/>
          <w:sz w:val="22"/>
          <w:szCs w:val="22"/>
          <w:highlight w:val="none"/>
          <w:lang w:eastAsia="zh-CN"/>
        </w:rPr>
      </w:pPr>
      <w:r>
        <w:rPr>
          <w:rFonts w:hint="eastAsia"/>
          <w:b/>
          <w:bCs/>
          <w:sz w:val="22"/>
          <w:szCs w:val="22"/>
          <w:highlight w:val="none"/>
          <w:lang w:eastAsia="zh-CN"/>
        </w:rPr>
        <w:t>十五、争议的解决</w:t>
      </w:r>
    </w:p>
    <w:p w14:paraId="3DBB331F">
      <w:pPr>
        <w:spacing w:line="360" w:lineRule="auto"/>
        <w:ind w:firstLine="440" w:firstLineChars="200"/>
        <w:rPr>
          <w:rFonts w:hint="eastAsia"/>
          <w:sz w:val="22"/>
          <w:szCs w:val="22"/>
          <w:highlight w:val="none"/>
          <w:lang w:eastAsia="zh-CN"/>
        </w:rPr>
      </w:pPr>
      <w:r>
        <w:rPr>
          <w:rFonts w:hint="eastAsia"/>
          <w:sz w:val="22"/>
          <w:szCs w:val="22"/>
          <w:highlight w:val="none"/>
          <w:lang w:eastAsia="zh-CN"/>
        </w:rPr>
        <w:t>1、合同双方应通过友好协商解决因解释﹑执行本合同所发生的和本合同有关的一切争议。如果经协商不能达成协议，可以采用第</w:t>
      </w:r>
      <w:r>
        <w:rPr>
          <w:rFonts w:hint="eastAsia"/>
          <w:sz w:val="22"/>
          <w:szCs w:val="22"/>
          <w:highlight w:val="none"/>
          <w:u w:val="single"/>
          <w:lang w:eastAsia="zh-CN"/>
        </w:rPr>
        <w:t>（2）</w:t>
      </w:r>
      <w:r>
        <w:rPr>
          <w:rFonts w:hint="eastAsia"/>
          <w:sz w:val="22"/>
          <w:szCs w:val="22"/>
          <w:highlight w:val="none"/>
          <w:lang w:eastAsia="zh-CN"/>
        </w:rPr>
        <w:t>种方式解决：</w:t>
      </w:r>
    </w:p>
    <w:p w14:paraId="337110CF">
      <w:pPr>
        <w:spacing w:line="360" w:lineRule="auto"/>
        <w:ind w:firstLine="220" w:firstLineChars="100"/>
        <w:rPr>
          <w:rFonts w:hint="eastAsia"/>
          <w:sz w:val="22"/>
          <w:szCs w:val="22"/>
          <w:highlight w:val="none"/>
          <w:lang w:eastAsia="zh-CN"/>
        </w:rPr>
      </w:pPr>
      <w:r>
        <w:rPr>
          <w:rFonts w:hint="eastAsia"/>
          <w:sz w:val="22"/>
          <w:szCs w:val="22"/>
          <w:highlight w:val="none"/>
          <w:lang w:eastAsia="zh-CN"/>
        </w:rPr>
        <w:t>（1）提交聊城仲裁委员会仲裁；</w:t>
      </w:r>
    </w:p>
    <w:p w14:paraId="29C97469">
      <w:pPr>
        <w:spacing w:line="360" w:lineRule="auto"/>
        <w:ind w:firstLine="220" w:firstLineChars="100"/>
        <w:rPr>
          <w:rFonts w:hint="eastAsia"/>
          <w:sz w:val="22"/>
          <w:szCs w:val="22"/>
          <w:highlight w:val="none"/>
          <w:lang w:eastAsia="zh-CN"/>
        </w:rPr>
      </w:pPr>
      <w:r>
        <w:rPr>
          <w:rFonts w:hint="eastAsia"/>
          <w:sz w:val="22"/>
          <w:szCs w:val="22"/>
          <w:highlight w:val="none"/>
          <w:lang w:eastAsia="zh-CN"/>
        </w:rPr>
        <w:t>（2）向人民法院起诉。</w:t>
      </w:r>
    </w:p>
    <w:p w14:paraId="33710EE8">
      <w:pPr>
        <w:spacing w:line="360" w:lineRule="auto"/>
        <w:ind w:firstLine="440" w:firstLineChars="200"/>
        <w:rPr>
          <w:rFonts w:hint="eastAsia"/>
          <w:sz w:val="22"/>
          <w:szCs w:val="22"/>
          <w:highlight w:val="none"/>
          <w:lang w:eastAsia="zh-CN"/>
        </w:rPr>
      </w:pPr>
      <w:r>
        <w:rPr>
          <w:rFonts w:hint="eastAsia"/>
          <w:sz w:val="22"/>
          <w:szCs w:val="22"/>
          <w:highlight w:val="none"/>
          <w:lang w:eastAsia="zh-CN"/>
        </w:rPr>
        <w:t>2、本合同甲、乙双方一致认为，本合同仅属于甲、乙双方之间的协议，任何争议均只应当按照本合同的约定方式处理，任何情形下采购代理机构均不应当成为该等争议的当事人，无论该等仲裁或诉讼均不得针对采购代理机构提起。</w:t>
      </w:r>
    </w:p>
    <w:p w14:paraId="588439B6">
      <w:pPr>
        <w:spacing w:line="360" w:lineRule="auto"/>
        <w:ind w:firstLine="440" w:firstLineChars="200"/>
        <w:rPr>
          <w:rFonts w:hint="eastAsia"/>
          <w:sz w:val="22"/>
          <w:szCs w:val="22"/>
          <w:highlight w:val="none"/>
          <w:lang w:eastAsia="zh-CN"/>
        </w:rPr>
      </w:pPr>
      <w:r>
        <w:rPr>
          <w:rFonts w:hint="eastAsia"/>
          <w:sz w:val="22"/>
          <w:szCs w:val="22"/>
          <w:highlight w:val="none"/>
          <w:lang w:eastAsia="zh-CN"/>
        </w:rPr>
        <w:t>3、在争议解决期间，除了诉讼或仲裁进行过程中正在解决的那部分问题外，合同其余部分应继续履行。</w:t>
      </w:r>
    </w:p>
    <w:p w14:paraId="22EFEBF8">
      <w:pPr>
        <w:spacing w:line="360" w:lineRule="auto"/>
        <w:rPr>
          <w:rFonts w:hint="eastAsia"/>
          <w:b/>
          <w:bCs/>
          <w:sz w:val="22"/>
          <w:szCs w:val="22"/>
          <w:highlight w:val="none"/>
          <w:lang w:eastAsia="zh-CN"/>
        </w:rPr>
      </w:pPr>
      <w:r>
        <w:rPr>
          <w:rFonts w:hint="eastAsia"/>
          <w:b/>
          <w:bCs/>
          <w:sz w:val="22"/>
          <w:szCs w:val="22"/>
          <w:highlight w:val="none"/>
          <w:lang w:eastAsia="zh-CN"/>
        </w:rPr>
        <w:t>十六、合同的生效</w:t>
      </w:r>
    </w:p>
    <w:p w14:paraId="476EE1E8">
      <w:pPr>
        <w:spacing w:line="360" w:lineRule="auto"/>
        <w:ind w:firstLine="440" w:firstLineChars="200"/>
        <w:rPr>
          <w:rFonts w:hint="eastAsia"/>
          <w:sz w:val="22"/>
          <w:szCs w:val="22"/>
          <w:highlight w:val="none"/>
          <w:lang w:eastAsia="zh-CN"/>
        </w:rPr>
      </w:pPr>
      <w:r>
        <w:rPr>
          <w:rFonts w:hint="eastAsia"/>
          <w:sz w:val="22"/>
          <w:szCs w:val="22"/>
          <w:highlight w:val="none"/>
          <w:lang w:eastAsia="zh-CN"/>
        </w:rPr>
        <w:t>本合同经甲乙双方法定代表人或授权代理人签字加盖单位公章后生效。</w:t>
      </w:r>
    </w:p>
    <w:p w14:paraId="7338BD76">
      <w:pPr>
        <w:spacing w:line="360" w:lineRule="auto"/>
        <w:rPr>
          <w:rFonts w:hint="eastAsia"/>
          <w:b/>
          <w:bCs/>
          <w:sz w:val="22"/>
          <w:szCs w:val="22"/>
          <w:highlight w:val="none"/>
          <w:lang w:eastAsia="zh-CN"/>
        </w:rPr>
      </w:pPr>
      <w:r>
        <w:rPr>
          <w:rFonts w:hint="eastAsia"/>
          <w:b/>
          <w:bCs/>
          <w:sz w:val="22"/>
          <w:szCs w:val="22"/>
          <w:highlight w:val="none"/>
          <w:lang w:eastAsia="zh-CN"/>
        </w:rPr>
        <w:t>十七、其他约定事项</w:t>
      </w:r>
    </w:p>
    <w:p w14:paraId="7B016E6E">
      <w:pPr>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1、</w:t>
      </w:r>
      <w:r>
        <w:rPr>
          <w:rFonts w:hint="eastAsia" w:ascii="宋体" w:hAnsi="宋体" w:eastAsia="宋体" w:cs="宋体"/>
          <w:sz w:val="22"/>
          <w:szCs w:val="22"/>
          <w:highlight w:val="none"/>
          <w:lang w:eastAsia="zh-CN"/>
        </w:rPr>
        <w:t>西安市财政局政府采购管理处在合同的履行期间以及履行期后，可以随时检查项目的执行情况，对采购内容、标准进行调查核实，并对发现的问题进行处理。</w:t>
      </w:r>
    </w:p>
    <w:p w14:paraId="433D34D9">
      <w:pPr>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2、</w:t>
      </w:r>
      <w:r>
        <w:rPr>
          <w:rFonts w:hint="eastAsia" w:ascii="宋体" w:hAnsi="宋体" w:eastAsia="宋体" w:cs="宋体"/>
          <w:sz w:val="22"/>
          <w:szCs w:val="22"/>
          <w:highlight w:val="none"/>
          <w:lang w:eastAsia="zh-CN"/>
        </w:rPr>
        <w:t>招标文件、投标文件、澄清表（函）、中标通知书、合同附件均成为合同不可分割的部分。</w:t>
      </w:r>
    </w:p>
    <w:p w14:paraId="729ECB63">
      <w:pPr>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lang w:eastAsia="zh-CN"/>
        </w:rPr>
        <w:t>合同未尽事宜，由甲、乙双方协商，签订补充协议，与原合同具有同等法律效力。</w:t>
      </w:r>
    </w:p>
    <w:p w14:paraId="6565D768">
      <w:pPr>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4、</w:t>
      </w:r>
      <w:r>
        <w:rPr>
          <w:rFonts w:hint="eastAsia" w:ascii="宋体" w:hAnsi="宋体" w:eastAsia="宋体" w:cs="宋体"/>
          <w:sz w:val="22"/>
          <w:szCs w:val="22"/>
          <w:highlight w:val="none"/>
          <w:lang w:eastAsia="zh-CN"/>
        </w:rPr>
        <w:t>合同一经签订，不得擅自变更、中止或终止合同。对确需变更、调整或中止、终止合同的，有法律规定的按照法律规定，除合同约定外，由甲乙双方再行协商，协商一致前，原合同或条款继续履行。</w:t>
      </w:r>
    </w:p>
    <w:p w14:paraId="0993BF97">
      <w:pPr>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5、</w:t>
      </w:r>
      <w:r>
        <w:rPr>
          <w:rFonts w:hint="eastAsia" w:ascii="宋体" w:hAnsi="宋体" w:eastAsia="宋体" w:cs="宋体"/>
          <w:sz w:val="22"/>
          <w:szCs w:val="22"/>
          <w:highlight w:val="none"/>
          <w:lang w:eastAsia="zh-CN"/>
        </w:rPr>
        <w:t>本合同按照中华人民共和国的现行法律进行解释。</w:t>
      </w:r>
    </w:p>
    <w:p w14:paraId="08D7A496">
      <w:pPr>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6、</w:t>
      </w:r>
      <w:r>
        <w:rPr>
          <w:rFonts w:hint="eastAsia" w:ascii="宋体" w:hAnsi="宋体" w:eastAsia="宋体" w:cs="宋体"/>
          <w:sz w:val="22"/>
          <w:szCs w:val="22"/>
          <w:highlight w:val="none"/>
          <w:lang w:eastAsia="zh-CN"/>
        </w:rPr>
        <w:t>本合同附件作为本合同的组成部分，与本合同具有同等法律效力</w:t>
      </w:r>
    </w:p>
    <w:p w14:paraId="744A5B29">
      <w:pPr>
        <w:pStyle w:val="5"/>
        <w:rPr>
          <w:rFonts w:hint="eastAsia"/>
          <w:sz w:val="22"/>
          <w:szCs w:val="22"/>
          <w:highlight w:val="none"/>
          <w:lang w:eastAsia="zh-CN"/>
        </w:rPr>
      </w:pPr>
    </w:p>
    <w:p w14:paraId="51778B7A">
      <w:pPr>
        <w:pStyle w:val="5"/>
        <w:rPr>
          <w:rFonts w:hint="eastAsia"/>
          <w:sz w:val="22"/>
          <w:szCs w:val="22"/>
          <w:highlight w:val="none"/>
          <w:lang w:eastAsia="zh-CN"/>
        </w:rPr>
      </w:pPr>
    </w:p>
    <w:tbl>
      <w:tblPr>
        <w:tblStyle w:val="6"/>
        <w:tblpPr w:leftFromText="180" w:rightFromText="180" w:vertAnchor="text" w:horzAnchor="page" w:tblpX="1387" w:tblpY="612"/>
        <w:tblOverlap w:val="never"/>
        <w:tblW w:w="0" w:type="auto"/>
        <w:tblInd w:w="0" w:type="dxa"/>
        <w:tblLayout w:type="fixed"/>
        <w:tblCellMar>
          <w:top w:w="0" w:type="dxa"/>
          <w:left w:w="108" w:type="dxa"/>
          <w:bottom w:w="0" w:type="dxa"/>
          <w:right w:w="108" w:type="dxa"/>
        </w:tblCellMar>
      </w:tblPr>
      <w:tblGrid>
        <w:gridCol w:w="4643"/>
        <w:gridCol w:w="4643"/>
      </w:tblGrid>
      <w:tr w14:paraId="7AFCD651">
        <w:tblPrEx>
          <w:tblCellMar>
            <w:top w:w="0" w:type="dxa"/>
            <w:left w:w="108" w:type="dxa"/>
            <w:bottom w:w="0" w:type="dxa"/>
            <w:right w:w="108" w:type="dxa"/>
          </w:tblCellMar>
        </w:tblPrEx>
        <w:tc>
          <w:tcPr>
            <w:tcW w:w="4643" w:type="dxa"/>
          </w:tcPr>
          <w:p w14:paraId="21A995D9">
            <w:pPr>
              <w:spacing w:line="360" w:lineRule="auto"/>
              <w:ind w:firstLine="440" w:firstLineChars="200"/>
              <w:jc w:val="left"/>
              <w:rPr>
                <w:rFonts w:hint="eastAsia" w:ascii="宋体" w:hAnsi="宋体"/>
                <w:bCs/>
                <w:sz w:val="22"/>
                <w:szCs w:val="22"/>
              </w:rPr>
            </w:pPr>
            <w:r>
              <w:rPr>
                <w:rFonts w:hint="eastAsia" w:ascii="宋体" w:hAnsi="宋体"/>
                <w:bCs/>
                <w:sz w:val="22"/>
                <w:szCs w:val="22"/>
              </w:rPr>
              <w:t>甲方名称（盖章）:</w:t>
            </w:r>
          </w:p>
          <w:p w14:paraId="7E4D3276">
            <w:pPr>
              <w:spacing w:line="360" w:lineRule="auto"/>
              <w:ind w:firstLine="440" w:firstLineChars="200"/>
              <w:jc w:val="left"/>
              <w:rPr>
                <w:rFonts w:hint="eastAsia" w:ascii="宋体" w:hAnsi="宋体"/>
                <w:bCs/>
                <w:sz w:val="22"/>
                <w:szCs w:val="22"/>
              </w:rPr>
            </w:pPr>
            <w:r>
              <w:rPr>
                <w:rFonts w:hint="eastAsia" w:ascii="宋体" w:hAnsi="宋体"/>
                <w:bCs/>
                <w:sz w:val="22"/>
                <w:szCs w:val="22"/>
              </w:rPr>
              <w:t>地址：</w:t>
            </w:r>
          </w:p>
          <w:p w14:paraId="164F4CC5">
            <w:pPr>
              <w:spacing w:line="360" w:lineRule="auto"/>
              <w:ind w:firstLine="440" w:firstLineChars="200"/>
              <w:jc w:val="left"/>
              <w:rPr>
                <w:rFonts w:hint="eastAsia" w:ascii="宋体" w:hAnsi="宋体"/>
                <w:bCs/>
                <w:sz w:val="22"/>
                <w:szCs w:val="22"/>
              </w:rPr>
            </w:pPr>
            <w:r>
              <w:rPr>
                <w:rFonts w:hint="eastAsia" w:ascii="宋体" w:hAnsi="宋体"/>
                <w:bCs/>
                <w:sz w:val="22"/>
                <w:szCs w:val="22"/>
              </w:rPr>
              <w:t>代表人（签字）：</w:t>
            </w:r>
          </w:p>
          <w:p w14:paraId="3FF16D8C">
            <w:pPr>
              <w:spacing w:line="360" w:lineRule="auto"/>
              <w:ind w:firstLine="440" w:firstLineChars="200"/>
              <w:jc w:val="left"/>
              <w:rPr>
                <w:rFonts w:hint="eastAsia" w:ascii="宋体" w:hAnsi="宋体"/>
                <w:bCs/>
                <w:sz w:val="22"/>
                <w:szCs w:val="22"/>
              </w:rPr>
            </w:pPr>
            <w:r>
              <w:rPr>
                <w:rFonts w:hint="eastAsia" w:ascii="宋体" w:hAnsi="宋体"/>
                <w:bCs/>
                <w:sz w:val="22"/>
                <w:szCs w:val="22"/>
              </w:rPr>
              <w:t>电话：</w:t>
            </w:r>
          </w:p>
          <w:p w14:paraId="18A2A96A">
            <w:pPr>
              <w:spacing w:line="360" w:lineRule="auto"/>
              <w:ind w:firstLine="440" w:firstLineChars="200"/>
              <w:jc w:val="left"/>
              <w:rPr>
                <w:rFonts w:hint="eastAsia" w:ascii="宋体" w:hAnsi="宋体"/>
                <w:bCs/>
                <w:sz w:val="22"/>
                <w:szCs w:val="22"/>
              </w:rPr>
            </w:pPr>
            <w:r>
              <w:rPr>
                <w:rFonts w:hint="eastAsia" w:ascii="宋体" w:hAnsi="宋体"/>
                <w:bCs/>
                <w:sz w:val="22"/>
                <w:szCs w:val="22"/>
              </w:rPr>
              <w:t>开户银行：</w:t>
            </w:r>
          </w:p>
          <w:p w14:paraId="4A37AB7B">
            <w:pPr>
              <w:spacing w:line="360" w:lineRule="auto"/>
              <w:ind w:firstLine="440" w:firstLineChars="200"/>
              <w:jc w:val="left"/>
              <w:rPr>
                <w:rFonts w:hint="eastAsia" w:ascii="宋体" w:hAnsi="宋体"/>
                <w:bCs/>
                <w:sz w:val="22"/>
                <w:szCs w:val="22"/>
              </w:rPr>
            </w:pPr>
            <w:r>
              <w:rPr>
                <w:rFonts w:hint="eastAsia" w:ascii="宋体" w:hAnsi="宋体"/>
                <w:bCs/>
                <w:sz w:val="22"/>
                <w:szCs w:val="22"/>
              </w:rPr>
              <w:t>帐号：</w:t>
            </w:r>
          </w:p>
        </w:tc>
        <w:tc>
          <w:tcPr>
            <w:tcW w:w="4643" w:type="dxa"/>
          </w:tcPr>
          <w:p w14:paraId="188C781A">
            <w:pPr>
              <w:spacing w:line="360" w:lineRule="auto"/>
              <w:ind w:firstLine="440" w:firstLineChars="200"/>
              <w:jc w:val="left"/>
              <w:rPr>
                <w:rFonts w:hint="eastAsia" w:ascii="宋体" w:hAnsi="宋体"/>
                <w:bCs/>
                <w:sz w:val="22"/>
                <w:szCs w:val="22"/>
              </w:rPr>
            </w:pPr>
            <w:r>
              <w:rPr>
                <w:rFonts w:hint="eastAsia" w:ascii="宋体" w:hAnsi="宋体"/>
                <w:bCs/>
                <w:sz w:val="22"/>
                <w:szCs w:val="22"/>
              </w:rPr>
              <w:t>乙方名称（盖章）:</w:t>
            </w:r>
          </w:p>
          <w:p w14:paraId="4032836D">
            <w:pPr>
              <w:spacing w:line="360" w:lineRule="auto"/>
              <w:ind w:firstLine="440" w:firstLineChars="200"/>
              <w:jc w:val="left"/>
              <w:rPr>
                <w:rFonts w:hint="eastAsia" w:ascii="宋体" w:hAnsi="宋体"/>
                <w:bCs/>
                <w:sz w:val="22"/>
                <w:szCs w:val="22"/>
              </w:rPr>
            </w:pPr>
            <w:r>
              <w:rPr>
                <w:rFonts w:hint="eastAsia" w:ascii="宋体" w:hAnsi="宋体"/>
                <w:bCs/>
                <w:sz w:val="22"/>
                <w:szCs w:val="22"/>
              </w:rPr>
              <w:t>地址：</w:t>
            </w:r>
          </w:p>
          <w:p w14:paraId="0E9136AA">
            <w:pPr>
              <w:spacing w:line="360" w:lineRule="auto"/>
              <w:ind w:firstLine="440" w:firstLineChars="200"/>
              <w:jc w:val="left"/>
              <w:rPr>
                <w:rFonts w:hint="eastAsia" w:ascii="宋体" w:hAnsi="宋体"/>
                <w:bCs/>
                <w:sz w:val="22"/>
                <w:szCs w:val="22"/>
              </w:rPr>
            </w:pPr>
            <w:r>
              <w:rPr>
                <w:rFonts w:hint="eastAsia" w:ascii="宋体" w:hAnsi="宋体"/>
                <w:bCs/>
                <w:sz w:val="22"/>
                <w:szCs w:val="22"/>
              </w:rPr>
              <w:t>代表人（签字）：</w:t>
            </w:r>
          </w:p>
          <w:p w14:paraId="44A389E8">
            <w:pPr>
              <w:spacing w:line="360" w:lineRule="auto"/>
              <w:ind w:firstLine="440" w:firstLineChars="200"/>
              <w:jc w:val="left"/>
              <w:rPr>
                <w:rFonts w:hint="eastAsia" w:ascii="宋体" w:hAnsi="宋体"/>
                <w:bCs/>
                <w:sz w:val="22"/>
                <w:szCs w:val="22"/>
              </w:rPr>
            </w:pPr>
            <w:r>
              <w:rPr>
                <w:rFonts w:hint="eastAsia" w:ascii="宋体" w:hAnsi="宋体"/>
                <w:bCs/>
                <w:sz w:val="22"/>
                <w:szCs w:val="22"/>
              </w:rPr>
              <w:t>电话：</w:t>
            </w:r>
          </w:p>
          <w:p w14:paraId="007A05D7">
            <w:pPr>
              <w:spacing w:line="360" w:lineRule="auto"/>
              <w:ind w:firstLine="440" w:firstLineChars="200"/>
              <w:jc w:val="left"/>
              <w:rPr>
                <w:rFonts w:hint="eastAsia" w:ascii="宋体" w:hAnsi="宋体"/>
                <w:bCs/>
                <w:sz w:val="22"/>
                <w:szCs w:val="22"/>
              </w:rPr>
            </w:pPr>
            <w:r>
              <w:rPr>
                <w:rFonts w:hint="eastAsia" w:ascii="宋体" w:hAnsi="宋体"/>
                <w:bCs/>
                <w:sz w:val="22"/>
                <w:szCs w:val="22"/>
              </w:rPr>
              <w:t>开户银行：</w:t>
            </w:r>
          </w:p>
          <w:p w14:paraId="076BA563">
            <w:pPr>
              <w:spacing w:line="360" w:lineRule="auto"/>
              <w:ind w:firstLine="440" w:firstLineChars="200"/>
              <w:jc w:val="left"/>
              <w:rPr>
                <w:rFonts w:hint="eastAsia" w:ascii="宋体" w:hAnsi="宋体"/>
                <w:bCs/>
                <w:sz w:val="22"/>
                <w:szCs w:val="22"/>
              </w:rPr>
            </w:pPr>
            <w:r>
              <w:rPr>
                <w:rFonts w:hint="eastAsia" w:ascii="宋体" w:hAnsi="宋体"/>
                <w:bCs/>
                <w:sz w:val="22"/>
                <w:szCs w:val="22"/>
              </w:rPr>
              <w:t>帐号：</w:t>
            </w:r>
          </w:p>
        </w:tc>
      </w:tr>
    </w:tbl>
    <w:p w14:paraId="4FC3DF03">
      <w:pPr>
        <w:spacing w:line="360" w:lineRule="auto"/>
        <w:rPr>
          <w:rFonts w:hint="eastAsia"/>
          <w:sz w:val="22"/>
          <w:szCs w:val="22"/>
          <w:lang w:eastAsia="zh-CN"/>
        </w:rPr>
      </w:pPr>
    </w:p>
    <w:p w14:paraId="231ADCDC">
      <w:pPr>
        <w:pStyle w:val="5"/>
        <w:rPr>
          <w:rFonts w:hint="eastAsia"/>
          <w:sz w:val="22"/>
          <w:szCs w:val="22"/>
          <w:lang w:eastAsia="zh-CN"/>
        </w:rPr>
      </w:pPr>
    </w:p>
    <w:p w14:paraId="112F4E20">
      <w:pPr>
        <w:pStyle w:val="5"/>
        <w:rPr>
          <w:rFonts w:hint="eastAsia"/>
          <w:sz w:val="22"/>
          <w:szCs w:val="22"/>
          <w:lang w:eastAsia="zh-CN"/>
        </w:rPr>
      </w:pPr>
    </w:p>
    <w:p w14:paraId="25A71EFA">
      <w:pPr>
        <w:pStyle w:val="5"/>
        <w:rPr>
          <w:rFonts w:hint="eastAsia"/>
          <w:sz w:val="22"/>
          <w:szCs w:val="22"/>
          <w:lang w:eastAsia="zh-CN"/>
        </w:rPr>
      </w:pPr>
    </w:p>
    <w:p w14:paraId="45B8A960">
      <w:pPr>
        <w:pStyle w:val="5"/>
        <w:rPr>
          <w:rFonts w:hint="eastAsia"/>
          <w:sz w:val="22"/>
          <w:szCs w:val="22"/>
          <w:lang w:eastAsia="zh-CN"/>
        </w:rPr>
      </w:pPr>
    </w:p>
    <w:p w14:paraId="77BBAB0A">
      <w:pPr>
        <w:pStyle w:val="5"/>
        <w:rPr>
          <w:rFonts w:hint="eastAsia"/>
          <w:sz w:val="22"/>
          <w:szCs w:val="22"/>
          <w:lang w:eastAsia="zh-CN"/>
        </w:rPr>
      </w:pPr>
    </w:p>
    <w:p w14:paraId="04F35AA1">
      <w:pPr>
        <w:pStyle w:val="5"/>
        <w:rPr>
          <w:rFonts w:hint="eastAsia"/>
          <w:sz w:val="22"/>
          <w:szCs w:val="22"/>
          <w:lang w:eastAsia="zh-CN"/>
        </w:rPr>
      </w:pPr>
    </w:p>
    <w:p w14:paraId="38BA4B7B">
      <w:pPr>
        <w:pStyle w:val="3"/>
        <w:rPr>
          <w:rFonts w:hint="eastAsia"/>
          <w:sz w:val="22"/>
          <w:szCs w:val="22"/>
          <w:lang w:eastAsia="zh-CN"/>
        </w:rPr>
      </w:pPr>
    </w:p>
    <w:p w14:paraId="4AE68C87">
      <w:pPr>
        <w:tabs>
          <w:tab w:val="left" w:pos="480"/>
        </w:tabs>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鉴</w:t>
      </w:r>
      <w:r>
        <w:rPr>
          <w:rFonts w:hint="eastAsia" w:ascii="宋体" w:hAnsi="宋体" w:eastAsia="宋体" w:cs="宋体"/>
          <w:sz w:val="22"/>
          <w:szCs w:val="22"/>
          <w:highlight w:val="none"/>
          <w:lang w:val="en-US" w:eastAsia="zh-CN"/>
        </w:rPr>
        <w:t xml:space="preserve"> </w:t>
      </w:r>
      <w:r>
        <w:rPr>
          <w:rFonts w:hint="eastAsia" w:ascii="宋体" w:hAnsi="宋体" w:eastAsia="宋体" w:cs="宋体"/>
          <w:sz w:val="22"/>
          <w:szCs w:val="22"/>
          <w:highlight w:val="none"/>
        </w:rPr>
        <w:t>证</w:t>
      </w:r>
      <w:r>
        <w:rPr>
          <w:rFonts w:hint="eastAsia" w:ascii="宋体" w:hAnsi="宋体" w:eastAsia="宋体" w:cs="宋体"/>
          <w:sz w:val="22"/>
          <w:szCs w:val="22"/>
          <w:highlight w:val="none"/>
          <w:lang w:val="en-US" w:eastAsia="zh-CN"/>
        </w:rPr>
        <w:t xml:space="preserve"> </w:t>
      </w:r>
      <w:r>
        <w:rPr>
          <w:rFonts w:hint="eastAsia" w:ascii="宋体" w:hAnsi="宋体" w:eastAsia="宋体" w:cs="宋体"/>
          <w:sz w:val="22"/>
          <w:szCs w:val="22"/>
          <w:highlight w:val="none"/>
        </w:rPr>
        <w:t>方</w:t>
      </w:r>
      <w:r>
        <w:rPr>
          <w:rFonts w:hint="eastAsia" w:ascii="宋体" w:hAnsi="宋体" w:eastAsia="宋体" w:cs="宋体"/>
          <w:sz w:val="22"/>
          <w:szCs w:val="22"/>
          <w:highlight w:val="none"/>
          <w:lang w:eastAsia="zh-CN"/>
        </w:rPr>
        <w:t>：</w:t>
      </w:r>
    </w:p>
    <w:p w14:paraId="3B2C014A">
      <w:pPr>
        <w:tabs>
          <w:tab w:val="left" w:pos="480"/>
        </w:tabs>
        <w:spacing w:line="360" w:lineRule="auto"/>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单位名称：</w:t>
      </w:r>
      <w:r>
        <w:rPr>
          <w:rFonts w:hint="eastAsia" w:ascii="宋体" w:hAnsi="宋体" w:eastAsia="宋体" w:cs="宋体"/>
          <w:sz w:val="22"/>
          <w:szCs w:val="22"/>
          <w:highlight w:val="none"/>
          <w:lang w:eastAsia="zh-CN"/>
        </w:rPr>
        <w:t>龙寰项目管理咨询有限公司</w:t>
      </w:r>
    </w:p>
    <w:p w14:paraId="15B8DB31">
      <w:pPr>
        <w:tabs>
          <w:tab w:val="left" w:pos="480"/>
        </w:tabs>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代 理 人：             （签字）</w:t>
      </w:r>
    </w:p>
    <w:p w14:paraId="3936019C">
      <w:pPr>
        <w:pStyle w:val="4"/>
        <w:spacing w:line="560" w:lineRule="exact"/>
        <w:ind w:firstLine="440" w:firstLineChars="200"/>
        <w:rPr>
          <w:sz w:val="22"/>
          <w:szCs w:val="22"/>
        </w:rPr>
      </w:pPr>
      <w:r>
        <w:rPr>
          <w:rFonts w:hint="eastAsia" w:ascii="宋体" w:hAnsi="宋体" w:eastAsia="宋体" w:cs="宋体"/>
          <w:sz w:val="22"/>
          <w:szCs w:val="22"/>
          <w:highlight w:val="none"/>
        </w:rPr>
        <w:t>签订日期：     年   月   日</w:t>
      </w:r>
    </w:p>
    <w:p w14:paraId="6B9CA04A">
      <w:pPr>
        <w:pStyle w:val="4"/>
        <w:rPr>
          <w:rFonts w:hint="eastAsia"/>
          <w:sz w:val="20"/>
          <w:szCs w:val="20"/>
        </w:rPr>
      </w:pPr>
    </w:p>
    <w:p w14:paraId="7B512243">
      <w:pPr>
        <w:pStyle w:val="4"/>
        <w:spacing w:line="560" w:lineRule="exact"/>
      </w:pPr>
    </w:p>
    <w:p w14:paraId="53A73A2E">
      <w:pPr>
        <w:pStyle w:val="4"/>
        <w:spacing w:line="560" w:lineRule="exact"/>
      </w:pPr>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31A312"/>
    <w:multiLevelType w:val="singleLevel"/>
    <w:tmpl w:val="F531A312"/>
    <w:lvl w:ilvl="0" w:tentative="0">
      <w:start w:val="3"/>
      <w:numFmt w:val="chineseCounting"/>
      <w:suff w:val="nothing"/>
      <w:lvlText w:val="%1、"/>
      <w:lvlJc w:val="left"/>
      <w:rPr>
        <w:rFonts w:hint="eastAsia"/>
      </w:rPr>
    </w:lvl>
  </w:abstractNum>
  <w:abstractNum w:abstractNumId="1">
    <w:nsid w:val="5A1782EC"/>
    <w:multiLevelType w:val="singleLevel"/>
    <w:tmpl w:val="5A1782EC"/>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90E293E"/>
    <w:rsid w:val="183121A5"/>
    <w:rsid w:val="1C347B54"/>
    <w:rsid w:val="20E93F65"/>
    <w:rsid w:val="30371DCF"/>
    <w:rsid w:val="31E35202"/>
    <w:rsid w:val="32B53CA7"/>
    <w:rsid w:val="3896792A"/>
    <w:rsid w:val="46A7430E"/>
    <w:rsid w:val="57641558"/>
    <w:rsid w:val="5C861969"/>
    <w:rsid w:val="61F335F4"/>
    <w:rsid w:val="76F0487A"/>
    <w:rsid w:val="79D744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490"/>
    </w:pPr>
    <w:rPr>
      <w:sz w:val="19"/>
      <w:szCs w:val="19"/>
    </w:rPr>
  </w:style>
  <w:style w:type="paragraph" w:styleId="3">
    <w:name w:val="Body Text First Indent 2"/>
    <w:basedOn w:val="1"/>
    <w:next w:val="1"/>
    <w:semiHidden/>
    <w:unhideWhenUsed/>
    <w:qFormat/>
    <w:uiPriority w:val="99"/>
    <w:pPr>
      <w:ind w:firstLine="420" w:firstLineChars="200"/>
    </w:pPr>
  </w:style>
  <w:style w:type="paragraph" w:styleId="4">
    <w:name w:val="Plain Text"/>
    <w:basedOn w:val="1"/>
    <w:qFormat/>
    <w:uiPriority w:val="99"/>
    <w:rPr>
      <w:rFonts w:ascii="宋体" w:hAnsi="Courier New"/>
      <w:szCs w:val="21"/>
    </w:rPr>
  </w:style>
  <w:style w:type="paragraph" w:styleId="5">
    <w:name w:val="footer"/>
    <w:basedOn w:val="1"/>
    <w:unhideWhenUsed/>
    <w:qFormat/>
    <w:uiPriority w:val="99"/>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235</Words>
  <Characters>257</Characters>
  <Lines>0</Lines>
  <Paragraphs>0</Paragraphs>
  <TotalTime>0</TotalTime>
  <ScaleCrop>false</ScaleCrop>
  <LinksUpToDate>false</LinksUpToDate>
  <CharactersWithSpaces>297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2025-05-15T01:58:30Z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0177810D3BF1401D9626D0508684BCBB_13</vt:lpwstr>
  </property>
  <property fmtid="{D5CDD505-2E9C-101B-9397-08002B2CF9AE}" pid="4" name="KSOTemplateDocerSaveRecord">
    <vt:lpwstr>eyJoZGlkIjoiZjk2ODgzNWMwYzFhNTg2ZjliNWNlOTYxNTE0MDFmYmUiLCJ1c2VySWQiOiIzMDYwNzg5NjUifQ==</vt:lpwstr>
  </property>
</Properties>
</file>