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版本号：LZBD2025-60520250515001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西安市国家传染病监测预警前置软件技术支撑服务采购项目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LZBD2025-605</w:t>
      </w:r>
      <w:r>
        <w:br/>
      </w:r>
      <w:r>
        <w:br/>
      </w:r>
      <w:r>
        <w:br/>
      </w:r>
    </w:p>
    <w:p>
      <w:pPr>
        <w:pStyle w:val="null3"/>
        <w:jc w:val="center"/>
        <w:outlineLvl w:val="2"/>
      </w:pPr>
      <w:r>
        <w:rPr>
          <w:rFonts w:ascii="仿宋_GB2312" w:hAnsi="仿宋_GB2312" w:cs="仿宋_GB2312" w:eastAsia="仿宋_GB2312"/>
          <w:sz w:val="28"/>
          <w:b/>
        </w:rPr>
        <w:t>西安市疾病预防控制中心</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西安市疾病预防控制中心</w:t>
      </w:r>
      <w:r>
        <w:rPr>
          <w:rFonts w:ascii="仿宋_GB2312" w:hAnsi="仿宋_GB2312" w:cs="仿宋_GB2312" w:eastAsia="仿宋_GB2312"/>
        </w:rPr>
        <w:t>委托，拟对</w:t>
      </w:r>
      <w:r>
        <w:rPr>
          <w:rFonts w:ascii="仿宋_GB2312" w:hAnsi="仿宋_GB2312" w:cs="仿宋_GB2312" w:eastAsia="仿宋_GB2312"/>
        </w:rPr>
        <w:t>西安市国家传染病监测预警前置软件技术支撑服务采购项目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LZBD2025-605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西安市国家传染病监测预警前置软件技术支撑服务采购项目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招标项目简介 国家传染病智能监测预警前置软件（以下简称前置软件）集成部署实施实现西安市二级及以上医疗机构集成部署应用，按照前置软件的数据集规范和同步要求，确保标化电子病例镜像库与前置软件安全对接, 在院内部署应用前置软件完成传染病诊疗数据的智能化识别与提取、传染病监测数据的智能采集、传染病风险提醒、传染病报告卡的智能生成和审核工作，并通过安全网络实现前置软件与国家数据集成服务平台的数据安全传输。具体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供应商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记录已失效，需提供相关证明资料。</w:t>
      </w:r>
    </w:p>
    <w:p>
      <w:pPr>
        <w:pStyle w:val="null3"/>
      </w:pPr>
      <w:r>
        <w:rPr>
          <w:rFonts w:ascii="仿宋_GB2312" w:hAnsi="仿宋_GB2312" w:cs="仿宋_GB2312" w:eastAsia="仿宋_GB2312"/>
        </w:rPr>
        <w:t>3、承诺函：供应商与其他投标供应商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pPr>
        <w:pStyle w:val="null3"/>
      </w:pPr>
      <w:r>
        <w:rPr>
          <w:rFonts w:ascii="仿宋_GB2312" w:hAnsi="仿宋_GB2312" w:cs="仿宋_GB2312" w:eastAsia="仿宋_GB2312"/>
        </w:rPr>
        <w:t>4、供应商与采购人关联关系：本项目不接受由西安市疾病预防控制中心职工及其亲属投资开办的企业参加本单位的政府采购活动(提供承诺函)。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西安市西影路599号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余云春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029-85525039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徐小宁、李敏、刘强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029-88228899-647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收取。2、中标单位在领取中标通知书之前，须向代理机构支付招标代理服务费。3、招标代理服务费以转账或现金形式缴纳至以下账户：开户名称：龙寰项目管理咨询有限公司，开户银行：平安银行西安高新路支行，账号：30201278016574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西安市疾病预防控制中心</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联系人：徐小宁、李敏</w:t>
      </w:r>
    </w:p>
    <w:p>
      <w:pPr>
        <w:pStyle w:val="null3"/>
      </w:pPr>
      <w:r>
        <w:rPr>
          <w:rFonts w:ascii="仿宋_GB2312" w:hAnsi="仿宋_GB2312" w:cs="仿宋_GB2312" w:eastAsia="仿宋_GB2312"/>
        </w:rPr>
        <w:t>联系电话：029-88228899-647</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国家传染病智能监测预警前置软件（以下简称前置软件）集成部署实施实现西安市二级及以上医疗机构集成部署应用，按照前置软件的数据集规范和同步要求，确保标化电子病例镜像库与前置软件安全对接, 在院内部署应用前置软件完成传染病诊疗数据的智能化识别与提取、传染病监测数据的智能采集、传染病风险提醒、传染病报告卡的智能生成和审核工作，并通过安全网络实现前置软件与国家数据集成服务平台的数据安全传输。具体要求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完成前置软件与国家数据集成服务平台的对接工作。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项目</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标的名称：完成前置软件与国家数据集成服务平台的对接工作。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sz w:val="21"/>
                <w:b/>
              </w:rPr>
              <w:t>一、项目建设目标</w:t>
            </w:r>
          </w:p>
          <w:p>
            <w:pPr>
              <w:pStyle w:val="null3"/>
              <w:ind w:firstLine="420"/>
            </w:pPr>
            <w:r>
              <w:rPr>
                <w:rFonts w:ascii="仿宋_GB2312" w:hAnsi="仿宋_GB2312" w:cs="仿宋_GB2312" w:eastAsia="仿宋_GB2312"/>
                <w:sz w:val="21"/>
              </w:rPr>
              <w:t>在二级及以上医疗机构部署前置软件，配合医院对院内电子病历</w:t>
            </w:r>
            <w:r>
              <w:rPr>
                <w:rFonts w:ascii="仿宋_GB2312" w:hAnsi="仿宋_GB2312" w:cs="仿宋_GB2312" w:eastAsia="仿宋_GB2312"/>
                <w:sz w:val="21"/>
              </w:rPr>
              <w:t>/HIS厂商指导培训，指导医院电子病历/HIS厂商完成院内数据集成、院内系统改造、数据对接、流程对接，完成前置软件与院内系统的集成对接联调，完成前置软件与国家数据集成服务平台的对接工作。</w:t>
            </w:r>
          </w:p>
          <w:p>
            <w:pPr>
              <w:pStyle w:val="null3"/>
              <w:ind w:firstLine="420"/>
            </w:pPr>
            <w:r>
              <w:rPr>
                <w:rFonts w:ascii="仿宋_GB2312" w:hAnsi="仿宋_GB2312" w:cs="仿宋_GB2312" w:eastAsia="仿宋_GB2312"/>
                <w:sz w:val="21"/>
                <w:b/>
              </w:rPr>
              <w:t>二、项目建设内容</w:t>
            </w:r>
          </w:p>
          <w:p>
            <w:pPr>
              <w:pStyle w:val="null3"/>
              <w:ind w:firstLine="420"/>
            </w:pPr>
            <w:r>
              <w:rPr>
                <w:rFonts w:ascii="仿宋_GB2312" w:hAnsi="仿宋_GB2312" w:cs="仿宋_GB2312" w:eastAsia="仿宋_GB2312"/>
                <w:sz w:val="21"/>
              </w:rPr>
              <w:t>主要包括前置软件部署实施技术服务以及管理服务两大块内容，具体为：</w:t>
            </w:r>
          </w:p>
          <w:p>
            <w:pPr>
              <w:pStyle w:val="null3"/>
              <w:ind w:firstLine="420"/>
            </w:pPr>
            <w:r>
              <w:rPr>
                <w:rFonts w:ascii="仿宋_GB2312" w:hAnsi="仿宋_GB2312" w:cs="仿宋_GB2312" w:eastAsia="仿宋_GB2312"/>
                <w:sz w:val="21"/>
              </w:rPr>
              <w:t>（一）前置软件部署实施技术服务</w:t>
            </w:r>
          </w:p>
          <w:p>
            <w:pPr>
              <w:pStyle w:val="null3"/>
              <w:ind w:firstLine="420"/>
            </w:pPr>
            <w:r>
              <w:rPr>
                <w:rFonts w:ascii="仿宋_GB2312" w:hAnsi="仿宋_GB2312" w:cs="仿宋_GB2312" w:eastAsia="仿宋_GB2312"/>
                <w:sz w:val="21"/>
              </w:rPr>
              <w:t>1、前置软件实施路径培训</w:t>
            </w:r>
          </w:p>
          <w:p>
            <w:pPr>
              <w:pStyle w:val="null3"/>
              <w:ind w:firstLine="420"/>
            </w:pPr>
            <w:r>
              <w:rPr>
                <w:rFonts w:ascii="仿宋_GB2312" w:hAnsi="仿宋_GB2312" w:cs="仿宋_GB2312" w:eastAsia="仿宋_GB2312"/>
                <w:sz w:val="21"/>
              </w:rPr>
              <w:t>配合市级疾控相关部门协助针对有需求的区，提供针对前置软件实施工作质量和效率的相关技术培训。投标人需要熟悉国家传染病智能监测预警前置软件实施内容，对应解决方案能够对多种主流芯片和服务器适配兼容，配合市级疾控形成帮助医院快速实施的详细实施方案，包括但不限于：基本情况、运行环境适配兼容建议、院内团队组建与准备工作、前置软件主流国产芯片适配完成情况说明、集成部署实施技术要求、医疗机构协同工作要求、预期效果和风险管理。</w:t>
            </w:r>
          </w:p>
          <w:p>
            <w:pPr>
              <w:pStyle w:val="null3"/>
              <w:ind w:firstLine="420"/>
            </w:pPr>
            <w:r>
              <w:rPr>
                <w:rFonts w:ascii="仿宋_GB2312" w:hAnsi="仿宋_GB2312" w:cs="仿宋_GB2312" w:eastAsia="仿宋_GB2312"/>
                <w:sz w:val="21"/>
              </w:rPr>
              <w:t>2、服务医院实施工作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1）协助完成医院电子病历厂商成熟度调研和需求分析；</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2）制定详细的医院部署计划；</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3）指导医疗机构按照计划进行前置软件部署工作；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4）对部署过程进行技术支撑和检查。</w:t>
            </w:r>
          </w:p>
          <w:p>
            <w:pPr>
              <w:pStyle w:val="null3"/>
              <w:ind w:firstLine="420"/>
            </w:pPr>
            <w:r>
              <w:rPr>
                <w:rFonts w:ascii="仿宋_GB2312" w:hAnsi="仿宋_GB2312" w:cs="仿宋_GB2312" w:eastAsia="仿宋_GB2312"/>
                <w:sz w:val="21"/>
              </w:rPr>
              <w:t>3、协助医院前置软件实施团队完成以下工作</w:t>
            </w:r>
          </w:p>
          <w:p>
            <w:pPr>
              <w:pStyle w:val="null3"/>
              <w:ind w:firstLine="420"/>
            </w:pPr>
            <w:r>
              <w:rPr>
                <w:rFonts w:ascii="仿宋_GB2312" w:hAnsi="仿宋_GB2312" w:cs="仿宋_GB2312" w:eastAsia="仿宋_GB2312"/>
                <w:sz w:val="21"/>
              </w:rPr>
              <w:t>在部署实施过程中，协助医院提供技术指导咨询服务：</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1）指导医院完成前置软件运行的软硬件环境配置，协助医院核查前置机适配情况、操作系统、数据库版本、库表索引字典、前置软件APP等初始化配置情况；</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2）完成国家传染病监测预警前置软件在医院前置服务器端的部署安装、配合联调。</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3）配合医院实施团队完成院内电子病历厂商对接工作，根据最新的国家疾控局对接数据API标准，</w:t>
            </w:r>
            <w:r>
              <w:rPr>
                <w:rFonts w:ascii="仿宋_GB2312" w:hAnsi="仿宋_GB2312" w:cs="仿宋_GB2312" w:eastAsia="仿宋_GB2312"/>
                <w:sz w:val="21"/>
              </w:rPr>
              <w:t>提前协助制定响应更新计划和更新期间的市级监控节点保障；</w:t>
            </w:r>
          </w:p>
          <w:p>
            <w:pPr>
              <w:pStyle w:val="null3"/>
              <w:ind w:firstLine="420"/>
            </w:pPr>
            <w:r>
              <w:rPr>
                <w:rFonts w:ascii="仿宋_GB2312" w:hAnsi="仿宋_GB2312" w:cs="仿宋_GB2312" w:eastAsia="仿宋_GB2312"/>
                <w:sz w:val="22"/>
              </w:rPr>
              <w:t>（4）按陕西省要求对医疗机构前置软件进行数据核查，对核查发现的问题提供整改建议，直至医疗机构符合转正条件。</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）对医院完成前置软件考核任务项目进度管理和医院侧完成账号申请、测试、转正、培训等流程提供指导和咨询；</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配合医院实施团队在电子病历实时库初始化</w:t>
            </w:r>
            <w:r>
              <w:rPr>
                <w:rFonts w:ascii="仿宋_GB2312" w:hAnsi="仿宋_GB2312" w:cs="仿宋_GB2312" w:eastAsia="仿宋_GB2312"/>
                <w:sz w:val="21"/>
              </w:rPr>
              <w:t>完成后完</w:t>
            </w:r>
            <w:r>
              <w:rPr>
                <w:rFonts w:ascii="仿宋_GB2312" w:hAnsi="仿宋_GB2312" w:cs="仿宋_GB2312" w:eastAsia="仿宋_GB2312"/>
                <w:sz w:val="21"/>
              </w:rPr>
              <w:t>成前置软件联调测试工作，符合转正要求后配合转正；</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）指导医院实施团队针对传染病国家直连直报稳定性和时效性场景提供双机热备、集群等可靠性方案，对重要数据和关键应用环境建立可恢复机制，指导医院实施团队完成前置机数据库专项备份存储工作；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）指导配合医院实施团队完成前置软件与</w:t>
            </w:r>
            <w:r>
              <w:rPr>
                <w:rFonts w:ascii="仿宋_GB2312" w:hAnsi="仿宋_GB2312" w:cs="仿宋_GB2312" w:eastAsia="仿宋_GB2312"/>
                <w:sz w:val="21"/>
              </w:rPr>
              <w:t>CA单位数字认证证书或密码设备对接；</w:t>
            </w:r>
          </w:p>
          <w:p>
            <w:pPr>
              <w:pStyle w:val="null3"/>
              <w:ind w:left="495"/>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）移动端适配调试。投标人指导医疗机构部署应用移动端，用于症</w:t>
            </w:r>
            <w:r>
              <w:rPr>
                <w:rFonts w:ascii="仿宋_GB2312" w:hAnsi="仿宋_GB2312" w:cs="仿宋_GB2312" w:eastAsia="仿宋_GB2312"/>
                <w:sz w:val="21"/>
              </w:rPr>
              <w:t>状监测等用途。移动端需要完成医疗</w:t>
            </w:r>
            <w:r>
              <w:rPr>
                <w:rFonts w:ascii="仿宋_GB2312" w:hAnsi="仿宋_GB2312" w:cs="仿宋_GB2312" w:eastAsia="仿宋_GB2312"/>
                <w:sz w:val="21"/>
              </w:rPr>
              <w:t>机构与国家端数据互联互通等调试应用。</w:t>
            </w:r>
          </w:p>
          <w:p>
            <w:pPr>
              <w:pStyle w:val="null3"/>
              <w:ind w:firstLine="420"/>
            </w:pPr>
            <w:r>
              <w:rPr>
                <w:rFonts w:ascii="仿宋_GB2312" w:hAnsi="仿宋_GB2312" w:cs="仿宋_GB2312" w:eastAsia="仿宋_GB2312"/>
                <w:sz w:val="21"/>
              </w:rPr>
              <w:t>（二）前置软件部署实施服务管理</w:t>
            </w:r>
          </w:p>
          <w:p>
            <w:pPr>
              <w:pStyle w:val="null3"/>
              <w:ind w:firstLine="420"/>
            </w:pPr>
            <w:r>
              <w:rPr>
                <w:rFonts w:ascii="仿宋_GB2312" w:hAnsi="仿宋_GB2312" w:cs="仿宋_GB2312" w:eastAsia="仿宋_GB2312"/>
                <w:sz w:val="21"/>
              </w:rPr>
              <w:t>为有效推进国家传染病智能监测预警前置软件在市级各医院的部署工作，保证前置软件安全稳定的运行，提供市级管理服务，主要包括以下内容：</w:t>
            </w:r>
          </w:p>
          <w:p>
            <w:pPr>
              <w:pStyle w:val="null3"/>
              <w:ind w:firstLine="420"/>
            </w:pPr>
            <w:r>
              <w:rPr>
                <w:rFonts w:ascii="仿宋_GB2312" w:hAnsi="仿宋_GB2312" w:cs="仿宋_GB2312" w:eastAsia="仿宋_GB2312"/>
                <w:sz w:val="21"/>
              </w:rPr>
              <w:t>1、进度监控和预警</w:t>
            </w:r>
          </w:p>
          <w:p>
            <w:pPr>
              <w:pStyle w:val="null3"/>
              <w:ind w:firstLine="420"/>
            </w:pPr>
            <w:r>
              <w:rPr>
                <w:rFonts w:ascii="仿宋_GB2312" w:hAnsi="仿宋_GB2312" w:cs="仿宋_GB2312" w:eastAsia="仿宋_GB2312"/>
                <w:sz w:val="21"/>
              </w:rPr>
              <w:t>制定并维护各医院科学合理的部署进度规划，有效监控和跟踪各医院的实施进展的进度，质量和安全性，提供进度监测预警服务；</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管理培训和支撑</w:t>
            </w:r>
          </w:p>
          <w:p>
            <w:pPr>
              <w:pStyle w:val="null3"/>
              <w:ind w:firstLine="420"/>
            </w:pPr>
            <w:r>
              <w:rPr>
                <w:rFonts w:ascii="仿宋_GB2312" w:hAnsi="仿宋_GB2312" w:cs="仿宋_GB2312" w:eastAsia="仿宋_GB2312"/>
                <w:sz w:val="21"/>
              </w:rPr>
              <w:t>登记并维护市级对各区各医院提供的技术培训和支持，技术研讨的情况数据，保证市级对各医院的部署支持工作落实到位；</w:t>
            </w:r>
          </w:p>
          <w:p>
            <w:pPr>
              <w:pStyle w:val="null3"/>
            </w:pPr>
            <w:r>
              <w:rPr>
                <w:rFonts w:ascii="仿宋_GB2312" w:hAnsi="仿宋_GB2312" w:cs="仿宋_GB2312" w:eastAsia="仿宋_GB2312"/>
                <w:sz w:val="21"/>
                <w:b/>
              </w:rPr>
              <w:t>三、项目建设范围</w:t>
            </w:r>
          </w:p>
          <w:p>
            <w:pPr>
              <w:pStyle w:val="null3"/>
              <w:ind w:firstLine="420"/>
            </w:pPr>
            <w:r>
              <w:rPr>
                <w:rFonts w:ascii="仿宋_GB2312" w:hAnsi="仿宋_GB2312" w:cs="仿宋_GB2312" w:eastAsia="仿宋_GB2312"/>
                <w:sz w:val="21"/>
              </w:rPr>
              <w:t>西安市辖区内二级及以上医疗机构</w:t>
            </w:r>
            <w:r>
              <w:rPr>
                <w:rFonts w:ascii="仿宋_GB2312" w:hAnsi="仿宋_GB2312" w:cs="仿宋_GB2312" w:eastAsia="仿宋_GB2312"/>
                <w:sz w:val="21"/>
              </w:rPr>
              <w:t>221家（最终数量以西安市任务底数为准）</w:t>
            </w:r>
            <w:r>
              <w:rPr>
                <w:rFonts w:ascii="仿宋_GB2312" w:hAnsi="仿宋_GB2312" w:cs="仿宋_GB2312" w:eastAsia="仿宋_GB2312"/>
                <w:sz w:val="21"/>
              </w:rPr>
              <w:t>。</w:t>
            </w:r>
          </w:p>
          <w:p>
            <w:pPr>
              <w:pStyle w:val="null3"/>
            </w:pPr>
            <w:r>
              <w:rPr>
                <w:rFonts w:ascii="仿宋_GB2312" w:hAnsi="仿宋_GB2312" w:cs="仿宋_GB2312" w:eastAsia="仿宋_GB2312"/>
                <w:sz w:val="21"/>
                <w:b/>
              </w:rPr>
              <w:t>四、项目管理及售后服务要求</w:t>
            </w:r>
          </w:p>
          <w:p>
            <w:pPr>
              <w:pStyle w:val="null3"/>
              <w:ind w:firstLine="420"/>
            </w:pPr>
            <w:r>
              <w:rPr>
                <w:rFonts w:ascii="仿宋_GB2312" w:hAnsi="仿宋_GB2312" w:cs="仿宋_GB2312" w:eastAsia="仿宋_GB2312"/>
                <w:sz w:val="21"/>
              </w:rPr>
              <w:t>1、项目实施进度要求</w:t>
            </w:r>
          </w:p>
          <w:p>
            <w:pPr>
              <w:pStyle w:val="null3"/>
              <w:ind w:firstLine="420"/>
            </w:pPr>
            <w:r>
              <w:rPr>
                <w:rFonts w:ascii="仿宋_GB2312" w:hAnsi="仿宋_GB2312" w:cs="仿宋_GB2312" w:eastAsia="仿宋_GB2312"/>
                <w:sz w:val="21"/>
              </w:rPr>
              <w:t>本项目在合同签订后</w:t>
            </w:r>
            <w:r>
              <w:rPr>
                <w:rFonts w:ascii="仿宋_GB2312" w:hAnsi="仿宋_GB2312" w:cs="仿宋_GB2312" w:eastAsia="仿宋_GB2312"/>
                <w:sz w:val="21"/>
              </w:rPr>
              <w:t>3个月内完成整体验收。</w:t>
            </w:r>
          </w:p>
          <w:p>
            <w:pPr>
              <w:pStyle w:val="null3"/>
              <w:ind w:firstLine="420"/>
            </w:pPr>
            <w:r>
              <w:rPr>
                <w:rFonts w:ascii="仿宋_GB2312" w:hAnsi="仿宋_GB2312" w:cs="仿宋_GB2312" w:eastAsia="仿宋_GB2312"/>
                <w:sz w:val="21"/>
              </w:rPr>
              <w:t>2、项目投标供应商及服务与技术支持要求</w:t>
            </w:r>
          </w:p>
          <w:p>
            <w:pPr>
              <w:pStyle w:val="null3"/>
              <w:ind w:firstLine="420"/>
            </w:pPr>
            <w:r>
              <w:rPr>
                <w:rFonts w:ascii="仿宋_GB2312" w:hAnsi="仿宋_GB2312" w:cs="仿宋_GB2312" w:eastAsia="仿宋_GB2312"/>
                <w:sz w:val="21"/>
              </w:rPr>
              <w:t>2.1</w:t>
            </w:r>
            <w:r>
              <w:rPr>
                <w:rFonts w:ascii="仿宋_GB2312" w:hAnsi="仿宋_GB2312" w:cs="仿宋_GB2312" w:eastAsia="仿宋_GB2312"/>
                <w:sz w:val="21"/>
              </w:rPr>
              <w:t>投标供应商提供的集成部署实施服务需满足</w:t>
            </w:r>
            <w:r>
              <w:rPr>
                <w:rFonts w:ascii="仿宋_GB2312" w:hAnsi="仿宋_GB2312" w:cs="仿宋_GB2312" w:eastAsia="仿宋_GB2312"/>
                <w:sz w:val="21"/>
              </w:rPr>
              <w:t>1</w:t>
            </w:r>
            <w:r>
              <w:rPr>
                <w:rFonts w:ascii="仿宋_GB2312" w:hAnsi="仿宋_GB2312" w:cs="仿宋_GB2312" w:eastAsia="仿宋_GB2312"/>
                <w:sz w:val="21"/>
              </w:rPr>
              <w:t>年的免费维护期（即质保期）。</w:t>
            </w:r>
          </w:p>
          <w:p>
            <w:pPr>
              <w:pStyle w:val="null3"/>
              <w:ind w:firstLine="420"/>
            </w:pPr>
            <w:r>
              <w:rPr>
                <w:rFonts w:ascii="仿宋_GB2312" w:hAnsi="仿宋_GB2312" w:cs="仿宋_GB2312" w:eastAsia="仿宋_GB2312"/>
                <w:sz w:val="21"/>
              </w:rPr>
              <w:t>2.2</w:t>
            </w:r>
            <w:r>
              <w:rPr>
                <w:rFonts w:ascii="仿宋_GB2312" w:hAnsi="仿宋_GB2312" w:cs="仿宋_GB2312" w:eastAsia="仿宋_GB2312"/>
                <w:sz w:val="21"/>
              </w:rPr>
              <w:t>运维团队负责人和相关人员，应熟悉前期项目情况、有充分的传染病监测预警前置软件实施经验并具备信息技术服务相关资质证书。</w:t>
            </w:r>
          </w:p>
          <w:p>
            <w:pPr>
              <w:pStyle w:val="null3"/>
              <w:ind w:left="480"/>
            </w:pPr>
            <w:r>
              <w:rPr>
                <w:rFonts w:ascii="仿宋_GB2312" w:hAnsi="仿宋_GB2312" w:cs="仿宋_GB2312" w:eastAsia="仿宋_GB2312"/>
                <w:sz w:val="21"/>
              </w:rPr>
              <w:t>2.3</w:t>
            </w:r>
            <w:r>
              <w:rPr>
                <w:rFonts w:ascii="仿宋_GB2312" w:hAnsi="仿宋_GB2312" w:cs="仿宋_GB2312" w:eastAsia="仿宋_GB2312"/>
                <w:sz w:val="21"/>
              </w:rPr>
              <w:t>故障响应：中标供应商在免费维护期中故障响应时间不超过</w:t>
            </w:r>
            <w:r>
              <w:rPr>
                <w:rFonts w:ascii="仿宋_GB2312" w:hAnsi="仿宋_GB2312" w:cs="仿宋_GB2312" w:eastAsia="仿宋_GB2312"/>
                <w:sz w:val="21"/>
              </w:rPr>
              <w:t>2小时。</w:t>
            </w:r>
          </w:p>
          <w:p>
            <w:pPr>
              <w:pStyle w:val="null3"/>
              <w:ind w:left="480"/>
            </w:pPr>
            <w:r>
              <w:rPr>
                <w:rFonts w:ascii="仿宋_GB2312" w:hAnsi="仿宋_GB2312" w:cs="仿宋_GB2312" w:eastAsia="仿宋_GB2312"/>
                <w:sz w:val="21"/>
              </w:rPr>
              <w:t>2.4</w:t>
            </w:r>
            <w:r>
              <w:rPr>
                <w:rFonts w:ascii="仿宋_GB2312" w:hAnsi="仿宋_GB2312" w:cs="仿宋_GB2312" w:eastAsia="仿宋_GB2312"/>
                <w:sz w:val="21"/>
              </w:rPr>
              <w:t>中标供应商需提供完整的售后服务和保障方案。</w:t>
            </w:r>
          </w:p>
          <w:p>
            <w:pPr>
              <w:pStyle w:val="null3"/>
              <w:ind w:left="480"/>
            </w:pPr>
            <w:r>
              <w:rPr>
                <w:rFonts w:ascii="仿宋_GB2312" w:hAnsi="仿宋_GB2312" w:cs="仿宋_GB2312" w:eastAsia="仿宋_GB2312"/>
                <w:sz w:val="21"/>
              </w:rPr>
              <w:t>2.5</w:t>
            </w:r>
            <w:r>
              <w:rPr>
                <w:rFonts w:ascii="仿宋_GB2312" w:hAnsi="仿宋_GB2312" w:cs="仿宋_GB2312" w:eastAsia="仿宋_GB2312"/>
                <w:sz w:val="21"/>
              </w:rPr>
              <w:t>所有软件产品的质保期自本项目验收之日起开始计算。</w:t>
            </w:r>
          </w:p>
          <w:p>
            <w:pPr>
              <w:pStyle w:val="null3"/>
              <w:ind w:left="480"/>
            </w:pPr>
            <w:r>
              <w:rPr>
                <w:rFonts w:ascii="仿宋_GB2312" w:hAnsi="仿宋_GB2312" w:cs="仿宋_GB2312" w:eastAsia="仿宋_GB2312"/>
                <w:sz w:val="21"/>
              </w:rPr>
              <w:t>2.6工程建设期间及质保期均属于免费服务期，该期限内的所有售后服</w:t>
            </w:r>
            <w:r>
              <w:rPr>
                <w:rFonts w:ascii="仿宋_GB2312" w:hAnsi="仿宋_GB2312" w:cs="仿宋_GB2312" w:eastAsia="仿宋_GB2312"/>
                <w:sz w:val="21"/>
              </w:rPr>
              <w:t>务，包括软件维护、前置软件版本升级（不包含更换硬件的费用）均由中标供应商承担。</w:t>
            </w:r>
          </w:p>
          <w:p>
            <w:pPr>
              <w:pStyle w:val="null3"/>
            </w:pPr>
            <w:r>
              <w:rPr>
                <w:rFonts w:ascii="仿宋_GB2312" w:hAnsi="仿宋_GB2312" w:cs="仿宋_GB2312" w:eastAsia="仿宋_GB2312"/>
                <w:sz w:val="21"/>
              </w:rPr>
              <w:t>2.7中标供应商在质保期满后应继续向采购人提供保证质量的售后服</w:t>
            </w:r>
            <w:r>
              <w:rPr>
                <w:rFonts w:ascii="仿宋_GB2312" w:hAnsi="仿宋_GB2312" w:cs="仿宋_GB2312" w:eastAsia="仿宋_GB2312"/>
                <w:sz w:val="21"/>
              </w:rPr>
              <w:t>务，以维持系统正常运作，售后服务定价不得偏离市场价格规律。</w:t>
            </w:r>
          </w:p>
          <w:p>
            <w:pPr>
              <w:pStyle w:val="null3"/>
            </w:pPr>
            <w:r>
              <w:rPr>
                <w:rFonts w:ascii="仿宋_GB2312" w:hAnsi="仿宋_GB2312" w:cs="仿宋_GB2312" w:eastAsia="仿宋_GB2312"/>
                <w:sz w:val="21"/>
                <w:b/>
              </w:rPr>
              <w:t>五、项目培训要求</w:t>
            </w:r>
          </w:p>
          <w:p>
            <w:pPr>
              <w:pStyle w:val="null3"/>
              <w:ind w:left="480"/>
            </w:pPr>
            <w:r>
              <w:rPr>
                <w:rFonts w:ascii="仿宋_GB2312" w:hAnsi="仿宋_GB2312" w:cs="仿宋_GB2312" w:eastAsia="仿宋_GB2312"/>
                <w:sz w:val="21"/>
              </w:rPr>
              <w:t>1、中标供应商必须提供相应的应用软件技术和系统操作等方面的免费培训不少于2次。</w:t>
            </w:r>
          </w:p>
          <w:p>
            <w:pPr>
              <w:pStyle w:val="null3"/>
              <w:ind w:left="480"/>
            </w:pPr>
            <w:r>
              <w:rPr>
                <w:rFonts w:ascii="仿宋_GB2312" w:hAnsi="仿宋_GB2312" w:cs="仿宋_GB2312" w:eastAsia="仿宋_GB2312"/>
                <w:sz w:val="21"/>
              </w:rPr>
              <w:t>2、对于所有培训，中标供应商必须派出具有相应专业资格和实际工作</w:t>
            </w:r>
          </w:p>
          <w:p>
            <w:pPr>
              <w:pStyle w:val="null3"/>
            </w:pPr>
            <w:r>
              <w:rPr>
                <w:rFonts w:ascii="仿宋_GB2312" w:hAnsi="仿宋_GB2312" w:cs="仿宋_GB2312" w:eastAsia="仿宋_GB2312"/>
                <w:sz w:val="21"/>
              </w:rPr>
              <w:t>经验的人员进行培训，主要培训人员应至少具有三年的培训经验，培训所使用的语言必须是中文，否则中标供应商必须提供相应的翻译。</w:t>
            </w:r>
          </w:p>
          <w:p>
            <w:pPr>
              <w:pStyle w:val="null3"/>
            </w:pPr>
            <w:r>
              <w:rPr>
                <w:rFonts w:ascii="仿宋_GB2312" w:hAnsi="仿宋_GB2312" w:cs="仿宋_GB2312" w:eastAsia="仿宋_GB2312"/>
                <w:sz w:val="21"/>
                <w:b/>
              </w:rPr>
              <w:t>六、安全保密要求</w:t>
            </w:r>
          </w:p>
          <w:p>
            <w:pPr>
              <w:pStyle w:val="null3"/>
              <w:ind w:left="480"/>
            </w:pPr>
            <w:r>
              <w:rPr>
                <w:rFonts w:ascii="仿宋_GB2312" w:hAnsi="仿宋_GB2312" w:cs="仿宋_GB2312" w:eastAsia="仿宋_GB2312"/>
                <w:sz w:val="21"/>
              </w:rPr>
              <w:t>1、</w:t>
            </w:r>
            <w:r>
              <w:rPr>
                <w:rFonts w:ascii="仿宋_GB2312" w:hAnsi="仿宋_GB2312" w:cs="仿宋_GB2312" w:eastAsia="仿宋_GB2312"/>
                <w:sz w:val="21"/>
              </w:rPr>
              <w:t>中标供应商进行运维、部署和数据处理等工作，不得对用户的数据进行</w:t>
            </w:r>
          </w:p>
          <w:p>
            <w:pPr>
              <w:pStyle w:val="null3"/>
            </w:pPr>
            <w:r>
              <w:rPr>
                <w:rFonts w:ascii="仿宋_GB2312" w:hAnsi="仿宋_GB2312" w:cs="仿宋_GB2312" w:eastAsia="仿宋_GB2312"/>
                <w:sz w:val="21"/>
              </w:rPr>
              <w:t>拷贝、备份等，同时不得对外泄露用户数据资料（包括自然人、法人和其他共享数据）的具体内容。否则由此引起的用户损失、相关社会和法律责任，由中标供应商负责承担。</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中标供应商必须协助用户采取各种管理和技术的手段，配备专业安全服务资质的工程师跟进该项目，确保用户的数据不外传和泄露。</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合同签订后，中标供应商需与采购人另行签订</w:t>
            </w:r>
            <w:r>
              <w:rPr>
                <w:rFonts w:ascii="仿宋_GB2312" w:hAnsi="仿宋_GB2312" w:cs="仿宋_GB2312" w:eastAsia="仿宋_GB2312"/>
                <w:sz w:val="21"/>
              </w:rPr>
              <w:t>“保密协议”，进一步落实安全保密要求，明确相关责任。</w:t>
            </w:r>
          </w:p>
          <w:p>
            <w:pPr>
              <w:pStyle w:val="null3"/>
            </w:pPr>
            <w:r>
              <w:rPr>
                <w:rFonts w:ascii="仿宋_GB2312" w:hAnsi="仿宋_GB2312" w:cs="仿宋_GB2312" w:eastAsia="仿宋_GB2312"/>
                <w:sz w:val="21"/>
                <w:b/>
              </w:rPr>
              <w:t>七、项目管理要求</w:t>
            </w:r>
          </w:p>
          <w:p>
            <w:pPr>
              <w:pStyle w:val="null3"/>
              <w:ind w:left="480"/>
            </w:pPr>
            <w:r>
              <w:rPr>
                <w:rFonts w:ascii="仿宋_GB2312" w:hAnsi="仿宋_GB2312" w:cs="仿宋_GB2312" w:eastAsia="仿宋_GB2312"/>
                <w:sz w:val="21"/>
              </w:rPr>
              <w:t>1、</w:t>
            </w:r>
            <w:r>
              <w:rPr>
                <w:rFonts w:ascii="仿宋_GB2312" w:hAnsi="仿宋_GB2312" w:cs="仿宋_GB2312" w:eastAsia="仿宋_GB2312"/>
                <w:sz w:val="21"/>
              </w:rPr>
              <w:t>中标供应商必须提供实施本项目的完整的项目管理方案，并在采购人的</w:t>
            </w:r>
            <w:r>
              <w:rPr>
                <w:rFonts w:ascii="仿宋_GB2312" w:hAnsi="仿宋_GB2312" w:cs="仿宋_GB2312" w:eastAsia="仿宋_GB2312"/>
                <w:sz w:val="21"/>
              </w:rPr>
              <w:t>监督下严格执行。</w:t>
            </w:r>
          </w:p>
          <w:p>
            <w:pPr>
              <w:pStyle w:val="null3"/>
            </w:pPr>
            <w:r>
              <w:rPr>
                <w:rFonts w:ascii="仿宋_GB2312" w:hAnsi="仿宋_GB2312" w:cs="仿宋_GB2312" w:eastAsia="仿宋_GB2312"/>
                <w:sz w:val="21"/>
              </w:rPr>
              <w:t>2、</w:t>
            </w:r>
            <w:r>
              <w:rPr>
                <w:rFonts w:ascii="仿宋_GB2312" w:hAnsi="仿宋_GB2312" w:cs="仿宋_GB2312" w:eastAsia="仿宋_GB2312"/>
                <w:sz w:val="21"/>
              </w:rPr>
              <w:t>根据采购人的要求，定期和里程碑时汇报项目进展情况。</w:t>
            </w:r>
          </w:p>
          <w:p>
            <w:pPr>
              <w:pStyle w:val="null3"/>
              <w:ind w:left="480"/>
            </w:pPr>
            <w:r>
              <w:rPr>
                <w:rFonts w:ascii="仿宋_GB2312" w:hAnsi="仿宋_GB2312" w:cs="仿宋_GB2312" w:eastAsia="仿宋_GB2312"/>
                <w:sz w:val="21"/>
              </w:rPr>
              <w:t>3、</w:t>
            </w:r>
            <w:r>
              <w:rPr>
                <w:rFonts w:ascii="仿宋_GB2312" w:hAnsi="仿宋_GB2312" w:cs="仿宋_GB2312" w:eastAsia="仿宋_GB2312"/>
                <w:sz w:val="21"/>
              </w:rPr>
              <w:t>在项目管理方案中，应充分体现中标供应商在项目管理方面的经验</w:t>
            </w:r>
            <w:r>
              <w:rPr>
                <w:rFonts w:ascii="仿宋_GB2312" w:hAnsi="仿宋_GB2312" w:cs="仿宋_GB2312" w:eastAsia="仿宋_GB2312"/>
                <w:sz w:val="21"/>
              </w:rPr>
              <w:t>和能力以及对该项目管理的设想和具</w:t>
            </w:r>
            <w:r>
              <w:rPr>
                <w:rFonts w:ascii="仿宋_GB2312" w:hAnsi="仿宋_GB2312" w:cs="仿宋_GB2312" w:eastAsia="仿宋_GB2312"/>
                <w:sz w:val="21"/>
              </w:rPr>
              <w:t>体方法。</w:t>
            </w:r>
          </w:p>
          <w:p>
            <w:pPr>
              <w:pStyle w:val="null3"/>
            </w:pPr>
            <w:r>
              <w:rPr>
                <w:rFonts w:ascii="仿宋_GB2312" w:hAnsi="仿宋_GB2312" w:cs="仿宋_GB2312" w:eastAsia="仿宋_GB2312"/>
                <w:sz w:val="21"/>
              </w:rPr>
              <w:t>4、</w:t>
            </w:r>
            <w:r>
              <w:rPr>
                <w:rFonts w:ascii="仿宋_GB2312" w:hAnsi="仿宋_GB2312" w:cs="仿宋_GB2312" w:eastAsia="仿宋_GB2312"/>
                <w:sz w:val="21"/>
              </w:rPr>
              <w:t>中标供应商应按照项目建设进度依次向采购人提交项目的技术文件</w:t>
            </w:r>
            <w:r>
              <w:rPr>
                <w:rFonts w:ascii="仿宋_GB2312" w:hAnsi="仿宋_GB2312" w:cs="仿宋_GB2312" w:eastAsia="仿宋_GB2312"/>
                <w:sz w:val="21"/>
              </w:rPr>
              <w:t>和管理文件。</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合同签订后3个月内完成整体验收。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西安市二级及以上医疗机构（221家，最终数量以西安市任务底数为准）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合同签订后，按照合同约定完成50%以上二级以上医疗机构所有服务内容，并经甲方验收合格后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按照合同约定完成85%医疗机构服务内容，并经甲方确认后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完成剩余二级以上医疗机构服务内容，并经甲方验收合格后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1、合同双方应通过友好协商解决因解释﹑执行本合同所发生的和本合同有关的一切争议。如果经协商不能达成协议，可以采用第（2）种方式解决： （1）提交聊城仲裁委员会仲裁； （2）向人民法院起诉。 2、本合同甲、乙双方一致认为，本合同仅属于甲、乙双方之间的协议，任何争议均只应当按照本合同的约定方式处理，任何情形下采购代理机构均不应当成为该等争议的当事人，无论该等仲裁或诉讼均不得针对采购代理机构提起。 3、在争议解决期间，除了诉讼或仲裁进行过程中正在解决的那部分问题外，合同其余部分应继续履行。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供应商需要在线提交所有通过电子化交易平台实施的政府采购项目的投标文件，同时，线下提交纸质投标文件正本一份、副本一份，电子版本一份（以U盘形式提供，文件格式包含.doc/.docx格式及正本盖章后扫描的.pdf格式），递交截止时间同在线递交电子投标文件截止时间一致。若电子投标文件与纸质投标文件不一致的，以纸质投标文件为准；若正本和副本不符，以正本为准。投标文件正、副本分别各自装订成册密封，在封口处加盖供应商公章。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4、现场演示环节：本项目设置现场演示环节（线下演示，演示地点龙寰项目管理咨询有限公司会议室），每个供应商总演示时间不超过10分钟，演示用设备自备，演示内容如下： （1）演示并讲解前置软件根据院内推送数据形成待确认数据流程，并简单描述生成待确认数据的原理； （2）演示并讲解待确诊数据到待确认数据流程，可进行批量确认数据，并对批量确认的数据进行查看； （3）演示并讲解待确诊数据流程，对批量确认的数据进行查看，并可进行批量数据确认,讲解应关注数据流程，可将应关注病例数据转发给临床医生查看、开始排查等； （4）演示并讲解前置软件运行监控相关模块，实现对区域医疗机构的运行状态进行管理和分析并提供便捷的快速查阅； （5）演示讲解前置软件疫源地/风险地区预警流程，并对预警指标与方式进行说明。 （6）演示并讲解，针对目前某HIS公司不配合医疗机构改造的情况下，如何指导医院完成HIS接口改造，并提供相对应可行案例支撑。 （7）演示并讲解，如何配合医疗机构进行CA证书调试工作。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财务状况报告：提供具有财务审计资质单位出具的2023年度财务报告（事业法人可提供部门决算报告）；或开标前六个月内其基本账户银行出具的资信证明；或政府采购信用担保机构出具的担保函；2.税收缴纳证明：提供截止至开标时间前六个月内任意一个月的缴纳凭据；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记录已失效，需提供相关证明资料。</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与其他投标供应商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tc>
        <w:tc>
          <w:tcPr>
            <w:tcW w:type="dxa" w:w="1661"/>
          </w:tcPr>
          <w:p>
            <w:pPr>
              <w:pStyle w:val="null3"/>
            </w:pPr>
            <w:r>
              <w:rPr>
                <w:rFonts w:ascii="仿宋_GB2312" w:hAnsi="仿宋_GB2312" w:cs="仿宋_GB2312" w:eastAsia="仿宋_GB2312"/>
              </w:rPr>
              <w:t>其他材料.docx 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其他材料.docx 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 投标文件封面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开标一览表.docx 开标一览表 服务内容及服务邀请应答表 技术响应部分.docx 中小企业声明函 资格证明资料.docx 商务响应部分.docx 法定代表人授权书.docx 投标函 残疾人福利性单位声明函 标的清单 投标文件封面 其他材料.docx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报价唯一，且没有高于采购预算或招标文件规定的最高限价。</w:t>
            </w:r>
          </w:p>
        </w:tc>
        <w:tc>
          <w:tcPr>
            <w:tcW w:type="dxa" w:w="1661"/>
          </w:tcPr>
          <w:p>
            <w:pPr>
              <w:pStyle w:val="null3"/>
            </w:pPr>
            <w:r>
              <w:rPr>
                <w:rFonts w:ascii="仿宋_GB2312" w:hAnsi="仿宋_GB2312" w:cs="仿宋_GB2312" w:eastAsia="仿宋_GB2312"/>
              </w:rPr>
              <w:t>开标一览表.docx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实施进度</w:t>
            </w:r>
          </w:p>
        </w:tc>
        <w:tc>
          <w:tcPr>
            <w:tcW w:type="dxa" w:w="3322"/>
          </w:tcPr>
          <w:p>
            <w:pPr>
              <w:pStyle w:val="null3"/>
            </w:pPr>
            <w:r>
              <w:rPr>
                <w:rFonts w:ascii="仿宋_GB2312" w:hAnsi="仿宋_GB2312" w:cs="仿宋_GB2312" w:eastAsia="仿宋_GB2312"/>
              </w:rPr>
              <w:t>本项目在合同签订后3个月内完成整体验收。</w:t>
            </w:r>
          </w:p>
        </w:tc>
        <w:tc>
          <w:tcPr>
            <w:tcW w:type="dxa" w:w="1661"/>
          </w:tcPr>
          <w:p>
            <w:pPr>
              <w:pStyle w:val="null3"/>
            </w:pPr>
            <w:r>
              <w:rPr>
                <w:rFonts w:ascii="仿宋_GB2312" w:hAnsi="仿宋_GB2312" w:cs="仿宋_GB2312" w:eastAsia="仿宋_GB2312"/>
              </w:rPr>
              <w:t>开标一览表.docx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实施地点</w:t>
            </w:r>
          </w:p>
        </w:tc>
        <w:tc>
          <w:tcPr>
            <w:tcW w:type="dxa" w:w="3322"/>
          </w:tcPr>
          <w:p>
            <w:pPr>
              <w:pStyle w:val="null3"/>
            </w:pPr>
            <w:r>
              <w:rPr>
                <w:rFonts w:ascii="仿宋_GB2312" w:hAnsi="仿宋_GB2312" w:cs="仿宋_GB2312" w:eastAsia="仿宋_GB2312"/>
              </w:rPr>
              <w:t>西安市辖区内二级及以上医疗机构221家（最终数量以西安市任务底数为准）。</w:t>
            </w:r>
          </w:p>
        </w:tc>
        <w:tc>
          <w:tcPr>
            <w:tcW w:type="dxa" w:w="1661"/>
          </w:tcPr>
          <w:p>
            <w:pPr>
              <w:pStyle w:val="null3"/>
            </w:pPr>
            <w:r>
              <w:rPr>
                <w:rFonts w:ascii="仿宋_GB2312" w:hAnsi="仿宋_GB2312" w:cs="仿宋_GB2312" w:eastAsia="仿宋_GB2312"/>
              </w:rPr>
              <w:t>开标一览表.docx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对合同权利和义务的响应</w:t>
            </w:r>
          </w:p>
        </w:tc>
        <w:tc>
          <w:tcPr>
            <w:tcW w:type="dxa" w:w="3322"/>
          </w:tcPr>
          <w:p>
            <w:pPr>
              <w:pStyle w:val="null3"/>
            </w:pPr>
            <w:r>
              <w:rPr>
                <w:rFonts w:ascii="仿宋_GB2312" w:hAnsi="仿宋_GB2312" w:cs="仿宋_GB2312" w:eastAsia="仿宋_GB2312"/>
              </w:rPr>
              <w:t>响应服务期限及合同中规定的双方的权利和义务。</w:t>
            </w:r>
          </w:p>
        </w:tc>
        <w:tc>
          <w:tcPr>
            <w:tcW w:type="dxa" w:w="1661"/>
          </w:tcPr>
          <w:p>
            <w:pPr>
              <w:pStyle w:val="null3"/>
            </w:pPr>
            <w:r>
              <w:rPr>
                <w:rFonts w:ascii="仿宋_GB2312" w:hAnsi="仿宋_GB2312" w:cs="仿宋_GB2312" w:eastAsia="仿宋_GB2312"/>
              </w:rPr>
              <w:t>投标文件封面 商务响应部分.docx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评审内容： 结合招标需求，能够对本市前置软件最新版本功能、设计、业务流程、实施流程、重难点、当前节点实施计划建议与满足情况及常见问题进行充分透彻的分析，并以图表加文字的形式，详细描述前置软件的业务流程。 评审原则： 需求理解分析透彻，内容涵盖全面，对本项目的重要性有准确得认知，得3分； 需求理解分析透彻，内容涵盖基本全面，得2分； 其他情况得1分； 不符合项目需求或未提供的不得分。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项目网络设计方案</w:t>
            </w:r>
          </w:p>
        </w:tc>
        <w:tc>
          <w:tcPr>
            <w:tcW w:type="dxa" w:w="2492"/>
          </w:tcPr>
          <w:p>
            <w:pPr>
              <w:pStyle w:val="null3"/>
            </w:pPr>
            <w:r>
              <w:rPr>
                <w:rFonts w:ascii="仿宋_GB2312" w:hAnsi="仿宋_GB2312" w:cs="仿宋_GB2312" w:eastAsia="仿宋_GB2312"/>
              </w:rPr>
              <w:t>评审内容： 依据前置软件部署网络要求，提供网络设计方案和部署技术路线，覆盖主要医院类型和场景，符合省和国家要求。 评审原则： 方案内容全面细致、框架清晰，可行性高、针对性强，并符合项目建设目标，得3分； 方案内容全面，框架清晰，可行性较高、结构完整的，得2分； 方案内容较全面，有一定的可行性、结构完整的，得1分； 不符合项目需求或未提供的不得分。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项目交换共享方案</w:t>
            </w:r>
          </w:p>
        </w:tc>
        <w:tc>
          <w:tcPr>
            <w:tcW w:type="dxa" w:w="2492"/>
          </w:tcPr>
          <w:p>
            <w:pPr>
              <w:pStyle w:val="null3"/>
            </w:pPr>
            <w:r>
              <w:rPr>
                <w:rFonts w:ascii="仿宋_GB2312" w:hAnsi="仿宋_GB2312" w:cs="仿宋_GB2312" w:eastAsia="仿宋_GB2312"/>
              </w:rPr>
              <w:t>评审内容： 结合国家前置软件与医疗机构前置镜像库对接要求，配备实施经验丰富的专业安全工程师配合医院完成对接转换，提供最新版本项目交换共享方案和编码标准规范及覆盖主要角色的操作指引。 评审原则： 方案内容全面细致、科学合理、可行性高、针对性强，并符合项目建设需求，得3分； 方案内容全面、科学合理、可行性较高，符合项目建设需求，得2分； 方案内容较全面、科学合理、有一定可行性，基本符合项目建设需求，得1分； 不符合项目需求或未提供的不得分。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实施部署工作方案</w:t>
            </w:r>
          </w:p>
        </w:tc>
        <w:tc>
          <w:tcPr>
            <w:tcW w:type="dxa" w:w="2492"/>
          </w:tcPr>
          <w:p>
            <w:pPr>
              <w:pStyle w:val="null3"/>
            </w:pPr>
            <w:r>
              <w:rPr>
                <w:rFonts w:ascii="仿宋_GB2312" w:hAnsi="仿宋_GB2312" w:cs="仿宋_GB2312" w:eastAsia="仿宋_GB2312"/>
              </w:rPr>
              <w:t>评审内容： 提供实施部署工作方，实施部署方案内容需包括集成部署实施技术要求（前置软件集成部署内容、专用网络架构集成要求、数据监控与比对要求、与省统筹区域平台API集成要求、前置软件各模块集成应用测试要求、部署运行动态评估要求）和医疗机构协同工作要求（配置前置服务器和网络、EMR数据表单映射、学习和培训、院内监测预警工作规范）。 评审原则： 方案内容全面细致、框架清晰，可行性高、针对性强，并符合项目建设目标，得5分； 方案内容全面，框架清晰，可行性较高、结构完整的，得4分； 方案内容较全面，有一定的可行性、结构完整的，得3分； 方案有基本响应内容，但可行性不强的，得2分； 其他情况得1分； 不符合项目需求或未提供的不得分。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前置软件功能性应用方案</w:t>
            </w:r>
          </w:p>
        </w:tc>
        <w:tc>
          <w:tcPr>
            <w:tcW w:type="dxa" w:w="2492"/>
          </w:tcPr>
          <w:p>
            <w:pPr>
              <w:pStyle w:val="null3"/>
            </w:pPr>
            <w:r>
              <w:rPr>
                <w:rFonts w:ascii="仿宋_GB2312" w:hAnsi="仿宋_GB2312" w:cs="仿宋_GB2312" w:eastAsia="仿宋_GB2312"/>
              </w:rPr>
              <w:t>评审内容： 针对前置软件部署应用过程中对传染病的自动生成全过程进行详细流程分析并具备涵盖传染病全程管理相关的证明材料，对配合省平台监管医疗机构部署做详细设计分析。 评审原则： 方案内容全面细致、框架清晰，可行性高、针对性强，并符合项目建设目标，得5分； 方案内容全面，框架清晰，可行性较高、结构完整的，得4分； 方案内容较全面，有一定的可行性、结构完整的，得3分； 方案有基本响应内容，但可行性不强的，得2分； 其他情况得1分； 不符合项目需求或未提供的不得分。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前置软件医疗机构应用方案</w:t>
            </w:r>
          </w:p>
        </w:tc>
        <w:tc>
          <w:tcPr>
            <w:tcW w:type="dxa" w:w="2492"/>
          </w:tcPr>
          <w:p>
            <w:pPr>
              <w:pStyle w:val="null3"/>
            </w:pPr>
            <w:r>
              <w:rPr>
                <w:rFonts w:ascii="仿宋_GB2312" w:hAnsi="仿宋_GB2312" w:cs="仿宋_GB2312" w:eastAsia="仿宋_GB2312"/>
              </w:rPr>
              <w:t>评审内容： 结合前置软件应用需求，对前置软件部署医疗机构弹窗功能进行详细描述，并对前置软件对接医疗机构数据表（21张表）做详细分析；同时，对医疗机构HIS系统对接前置软件数据标准化改造做详细描述。 评审原则： 方案内容全面细致、框架清晰，可行性高、针对性强，并符合项目建设目标，得5分； 方案内容全面，框架清晰，可行性较高、结构完整的，得4分； 方案内容较全面，有一定的可行性、结构完整的，得3分； 方案有基本响应内容，但可行性不强的，得2分； 其他情况得1分； 不符合项目需求或未提供的不得分。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前置软件移动端应用方案</w:t>
            </w:r>
          </w:p>
        </w:tc>
        <w:tc>
          <w:tcPr>
            <w:tcW w:type="dxa" w:w="2492"/>
          </w:tcPr>
          <w:p>
            <w:pPr>
              <w:pStyle w:val="null3"/>
            </w:pPr>
            <w:r>
              <w:rPr>
                <w:rFonts w:ascii="仿宋_GB2312" w:hAnsi="仿宋_GB2312" w:cs="仿宋_GB2312" w:eastAsia="仿宋_GB2312"/>
              </w:rPr>
              <w:t>评审内容： 提供前置软件移动端应用方案，方案要体现前置软件移动端用户管理、网络设计、多端支持、用户登录、数据上报的流程图，并对流程图有充分的分析理解。 评审原则： 方案内容全面细致、框架清晰，可行性高、针对性强，并符合项目建设目标，得5分； 方案内容全面，框架清晰，可行性较高、结构完整的，得4分； 方案内容较全面，有一定的可行性、结构完整的，得3分； 方案有基本响应内容，但可行性不强的，得2分； 其他情况得1分； 不符合项目需求或未提供的不得分。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数据核对方案</w:t>
            </w:r>
          </w:p>
        </w:tc>
        <w:tc>
          <w:tcPr>
            <w:tcW w:type="dxa" w:w="2492"/>
          </w:tcPr>
          <w:p>
            <w:pPr>
              <w:pStyle w:val="null3"/>
            </w:pPr>
            <w:r>
              <w:rPr>
                <w:rFonts w:ascii="仿宋_GB2312" w:hAnsi="仿宋_GB2312" w:cs="仿宋_GB2312" w:eastAsia="仿宋_GB2312"/>
              </w:rPr>
              <w:t>评审内容： 提供医疗机构业务系统、前置软件、国家平台间数据核对方案：熟悉前置软件数据流程，熟悉待确认、待确诊、待完善、应关注数据的形成规则。 评审原则： 方案内容全面细致、框架清晰，可行性高、针对性强，并符合项目建设目标，得5分； 方案内容全面，框架清晰，可行性较高、结构完整的，得4分； 方案内容较全面，有一定的可行性、结构完整的，得3分； 方案有基本响应内容，但可行性不强的，得2分； 其他情况得1分； 不符合项目需求或未提供的不得分。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项目预期效果及风险</w:t>
            </w:r>
          </w:p>
        </w:tc>
        <w:tc>
          <w:tcPr>
            <w:tcW w:type="dxa" w:w="2492"/>
          </w:tcPr>
          <w:p>
            <w:pPr>
              <w:pStyle w:val="null3"/>
            </w:pPr>
            <w:r>
              <w:rPr>
                <w:rFonts w:ascii="仿宋_GB2312" w:hAnsi="仿宋_GB2312" w:cs="仿宋_GB2312" w:eastAsia="仿宋_GB2312"/>
              </w:rPr>
              <w:t>评审内容： 根据项目实施计划和安排，针对项目实施过程中可能存在的风险和预期效果进行分析，内容应包括预期效果、风险识别和评估、风险应对措施等内容。 评审原则： 内容及措施专门针对本项目编制，内容全面细致、严谨周密，可行性强，得5分； 内容及措施专门针对本项目编制，内容全面细致、方案较严谨，有一定的可行性的，得4分； 内容及措施内容较全面，基本可行的，得3分； 内容及措施有基本响应内容，可行性不强，得2分； 其他情况得1分； 不符合项目需求或未提供的不得分。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评审内容： 现场演示环节，逐项演示以下内容： （1）演示并讲解前置软件根据院内推送数据形成待确认数据流程，并简单描述生成待确认数据的原理； （2）演示并讲解待确诊数据到待确认数据流程，可进行批量确认数据，并对批量确认的数据进行查看； （3）演示并讲解待确诊数据流程，对批量确认的数据进行查看，并可进行批量数据确认,讲解应关注数据流程，可将应关注病例数据转发给临床医生查看、开始排查等； （4）演示并讲解前置软件运行监控相关模块，实现对区域医疗机构的运行状态进行管理和分析并提供便捷的快速查阅； （5）演示讲解前置软件疫源地/风险地区预警流程，并对预警指标与方式进行说明。 （6）演示并讲解，针对目前某HIS公司不配合医疗机构改造的情况下，如何指导医院完成HIS接口改造，并提供相对应可行案例支撑。 （7）演示并讲解，如何配合医疗机构进行每个CA厂家的证书调试工作。 评审原则： 1、提供软件系统演示的最高可得满分14分；以PPT等图文方式视频演示的最高可得5分； 2、总演示时间不超过10分钟； 3、全部演示且完全满足需求的得最高分，有一项内容未演示或演示内容不满足要求的扣2分，扣完为止。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投标人具备软件工程能力成熟度模型集成认CMMI认证；三级得1分，四级得2分，五级得3分； 投标人具备数据管理能力成熟度评估模型DCMM认证3级及以上得2分，否则不得分。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1、拟派项目经理具备中级及以上工程师资质证书得1分、具备ITSS-IT服务项目经理得1分、具备信息安全工程师得1分。满分3分。 （以投标文件中相关证书及该成员在供应商供职的相关证明资料扫描件为准，未提供不得分） 2、具有与本项目类似的实施经验，提供证明材料得1分，否则不得分。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1、技术负责人具备ITSS-IT服务工程师证书得1分、具备信息安全工程师得1分，最多2分； 2、实施团队人员（不含项目经理、技术负责人）具备以下证书：《计算机技术与软件专业技术资格证书（信息系统项目管理师）》、高级工程师职称证书、ITIL运维认证证书、注册信息安全专业人员（CISP）证书。每个具备以上任意一种证书的实施团队人员得0.5分，最多4分。 （以投标文件中相关证书及该成员在供应商供职的相关证明资料扫描件为准，未提供不得分） 3、拟派实施团队人员（不含项目经理、技术负责人）为10人及以上，且有详细的人员信息情况表，有明确的岗位职责及分工，实施人员需要有地市级前置软件组织实施管理经验，提供相关经验证明材料。以上内容涵盖全面、证明材料齐全清晰得3分；内容涵盖较全面得2分；其他情况得1分；不符合项目需求或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1、供应商具有完善的售后服务保障体系，提供合理可行的售后服务方案，主要对售后服务流程、售后服务内容、响应时间、人员支撑以及后续技术支持。 2、提供详尽的培训方案及培训计划，并列出培训的具体内容及方式（包括：培训时间、培训内容、拟派培训人员情况等），保证使用单位能熟练操作维护和正常使用。 3、医疗机构转正后，现场驻场人员至少2人，现场服务期限三年。售后驻场人员需具备地市级前置软件实施经验，提供实施经验明材料及该成员在供应商供职的相关证明资料扫描件，未提供不得分。 评审原则： 以上评审内容每一项满分3分，按如下标准赋分： 专门针对本项目编制，符合项目实施要求，方案内容详尽且全面，可操作性及可行性强，有利于项目实施得3分； 专门针对本项目编制，符合项目实施要求，方案内容较详尽全面，基本可行得2分； 方案内容简单笼统，实施难度大的，得1分。 不符合项目需求或未提供的不得分。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自2021年1月1日以来（以合同签订时间为准，提供清晰完整合同原件扫描），投标人承接过类似的前置软件部署项目业绩，每提供一个得2分，最多10分。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商务响应部分.docx</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满足招标文件要求且报价最低的供应商的价格为基准价，各有效供应商的价格评分统一按照下列公式计算：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开标一览表.docx 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详见附件：商务响应部分.docx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