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版本号：HDFX-2025-Z120-220250514001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联影uCT960+全保(二次)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HDFX-2025-Z120-2</w:t>
      </w:r>
      <w:r>
        <w:br/>
      </w:r>
      <w:r>
        <w:br/>
      </w:r>
      <w:r>
        <w:br/>
      </w:r>
    </w:p>
    <w:p>
      <w:pPr>
        <w:pStyle w:val="null3"/>
        <w:jc w:val="center"/>
        <w:outlineLvl w:val="2"/>
      </w:pPr>
      <w:r>
        <w:rPr>
          <w:rFonts w:ascii="仿宋_GB2312" w:hAnsi="仿宋_GB2312" w:cs="仿宋_GB2312" w:eastAsia="仿宋_GB2312"/>
          <w:sz w:val="28"/>
          <w:b/>
        </w:rPr>
        <w:t>西安市第一医院</w:t>
      </w:r>
    </w:p>
    <w:p>
      <w:pPr>
        <w:pStyle w:val="null3"/>
        <w:jc w:val="center"/>
        <w:outlineLvl w:val="2"/>
      </w:pPr>
      <w:r>
        <w:rPr>
          <w:rFonts w:ascii="仿宋_GB2312" w:hAnsi="仿宋_GB2312" w:cs="仿宋_GB2312" w:eastAsia="仿宋_GB2312"/>
          <w:sz w:val="28"/>
          <w:b/>
        </w:rPr>
        <w:t>陕西华达峰信项目管理有限公司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陕西华达峰信项目管理有限公司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西安市第一医院</w:t>
      </w:r>
      <w:r>
        <w:rPr>
          <w:rFonts w:ascii="仿宋_GB2312" w:hAnsi="仿宋_GB2312" w:cs="仿宋_GB2312" w:eastAsia="仿宋_GB2312"/>
        </w:rPr>
        <w:t>委托，拟对</w:t>
      </w:r>
      <w:r>
        <w:rPr>
          <w:rFonts w:ascii="仿宋_GB2312" w:hAnsi="仿宋_GB2312" w:cs="仿宋_GB2312" w:eastAsia="仿宋_GB2312"/>
        </w:rPr>
        <w:t>联影uCT960+全保(二次)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HDFX-2025-Z120-2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联影uCT960+全保(二次)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购买联影uCT 960+ 全保服务采购项目。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1、有效的主体资格证明：具有独立承担民事责任能力的法人，其他组织或自然人，并出具合法有效的统一社会信用代码的营业执照或事业单位法人证书等国家规定的相关证明，自然人参与地提供其身份证明;</w:t>
      </w:r>
    </w:p>
    <w:p>
      <w:pPr>
        <w:pStyle w:val="null3"/>
      </w:pPr>
      <w:r>
        <w:rPr>
          <w:rFonts w:ascii="仿宋_GB2312" w:hAnsi="仿宋_GB2312" w:cs="仿宋_GB2312" w:eastAsia="仿宋_GB2312"/>
        </w:rPr>
        <w:t>2、法定代表人授权书：法定代表人授权书【附法定代表人、被授权人身份证复印件】及被授权人身份证【法定代表人参加投标只需提供本人身份证】，其他形式供应商参照法人企业执行；被授权人须提供在本单位缴纳的社保记录（磋商响应文件递交截止时间前连续三个月）;</w:t>
      </w:r>
    </w:p>
    <w:p>
      <w:pPr>
        <w:pStyle w:val="null3"/>
      </w:pPr>
      <w:r>
        <w:rPr>
          <w:rFonts w:ascii="仿宋_GB2312" w:hAnsi="仿宋_GB2312" w:cs="仿宋_GB2312" w:eastAsia="仿宋_GB2312"/>
        </w:rPr>
        <w:t>3、财务状况报告：提供2023或2024年度的审计报告（成立时间至提交投标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4、社保保障资金缴纳证明：提供投标截止时间前6个月内至少一个月的社会保障资金缴存单据或社保机构开具的社会保险参保缴费情况证明，依法不需要缴纳社会保障资金的单位应提供相关证明材料;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5、税收缴纳证明：提供投标截止时间前6个月内至少一个月的纳税证明或完税证明（任意税种，个人所得税除外），依法免税的单位应提供相关证明材料;</w:t>
      </w:r>
    </w:p>
    <w:p>
      <w:pPr>
        <w:pStyle w:val="null3"/>
      </w:pPr>
      <w:r>
        <w:rPr>
          <w:rFonts w:ascii="仿宋_GB2312" w:hAnsi="仿宋_GB2312" w:cs="仿宋_GB2312" w:eastAsia="仿宋_GB2312"/>
        </w:rPr>
        <w:t>6、无重大违法记录声明：参加政府采购活动前3年内，在经营活动中没有重大违法记录的书面声明;</w:t>
      </w:r>
    </w:p>
    <w:p>
      <w:pPr>
        <w:pStyle w:val="null3"/>
      </w:pPr>
      <w:r>
        <w:rPr>
          <w:rFonts w:ascii="仿宋_GB2312" w:hAnsi="仿宋_GB2312" w:cs="仿宋_GB2312" w:eastAsia="仿宋_GB2312"/>
        </w:rPr>
        <w:t>7、特定资质：供应商须符合《医疗器械监督管理条例》要求，供应商为制造商参与投标的提供医疗器械生产许可证或医疗器械生产备案证；代理或经销商参与投标的提供医疗器械经营许可证或医疗器械经营备案凭证;</w:t>
      </w:r>
    </w:p>
    <w:p>
      <w:pPr>
        <w:pStyle w:val="null3"/>
      </w:pPr>
      <w:r>
        <w:rPr>
          <w:rFonts w:ascii="仿宋_GB2312" w:hAnsi="仿宋_GB2312" w:cs="仿宋_GB2312" w:eastAsia="仿宋_GB2312"/>
        </w:rPr>
        <w:t>8、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9、履行合同的书面承诺：承诺具备履行合同所必需的设备和专业技术能力;</w:t>
      </w:r>
    </w:p>
    <w:p>
      <w:pPr>
        <w:pStyle w:val="null3"/>
      </w:pPr>
      <w:r>
        <w:rPr>
          <w:rFonts w:ascii="仿宋_GB2312" w:hAnsi="仿宋_GB2312" w:cs="仿宋_GB2312" w:eastAsia="仿宋_GB2312"/>
        </w:rPr>
        <w:t>10、承诺书：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书）;</w:t>
      </w:r>
    </w:p>
    <w:p>
      <w:pPr>
        <w:pStyle w:val="null3"/>
      </w:pPr>
      <w:r>
        <w:rPr>
          <w:rFonts w:ascii="仿宋_GB2312" w:hAnsi="仿宋_GB2312" w:cs="仿宋_GB2312" w:eastAsia="仿宋_GB2312"/>
        </w:rPr>
        <w:t>11、供应商与采购人关联关系：本项目不接受由西安市第一医院职工及其亲属投资开办的企业参加本单位的政府采购活动（提供承诺函）;</w:t>
      </w:r>
    </w:p>
    <w:p>
      <w:pPr>
        <w:pStyle w:val="null3"/>
      </w:pPr>
      <w:r>
        <w:rPr>
          <w:rFonts w:ascii="仿宋_GB2312" w:hAnsi="仿宋_GB2312" w:cs="仿宋_GB2312" w:eastAsia="仿宋_GB2312"/>
        </w:rPr>
        <w:t>12、非联合体声明函：本项目不接受联合体投标。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西安市第一医院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南大街粉巷30号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西安市第一医院经办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029-87630967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陕西华达峰信项目管理有限公司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陕西省西安市未央区朱宏路福清商会大厦11层1101室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029-89573156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代理服务费收费标准：1、成交单位在领取成交通知书前，须向采购代理机构支付服务费。 2、服务费参照《国家计委关于印发&lt;招标代理服务收费管理暂行办法&gt;的通知》（计价格[2002]1980号）规定下浮20%收取。 3、成交单位服务费交纳信息 银行户名：陕西华达峰信项目管理有限公司 开户银行：中国工商银行股份有限公司西安未央支行 账 号：3700 0340 0910 0001 556 行 号：102 791 000 525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西安市第一医院</w:t>
      </w:r>
      <w:r>
        <w:rPr>
          <w:rFonts w:ascii="仿宋_GB2312" w:hAnsi="仿宋_GB2312" w:cs="仿宋_GB2312" w:eastAsia="仿宋_GB2312"/>
        </w:rPr>
        <w:t>和</w:t>
      </w:r>
      <w:r>
        <w:rPr>
          <w:rFonts w:ascii="仿宋_GB2312" w:hAnsi="仿宋_GB2312" w:cs="仿宋_GB2312" w:eastAsia="仿宋_GB2312"/>
        </w:rPr>
        <w:t>陕西华达峰信项目管理有限公司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西安市第一医院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陕西华达峰信项目管理有限公司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西安市第一医院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陕西华达峰信项目管理有限公司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按照竞争性磋商文件、竞争性磋商响应文件及合同相关要求执行。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陕西华达峰信项目管理有限公司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陕西华达峰信项目管理有限公司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陕西华达峰信项目管理有限公司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联系人：韩飞</w:t>
      </w:r>
    </w:p>
    <w:p>
      <w:pPr>
        <w:pStyle w:val="null3"/>
      </w:pPr>
      <w:r>
        <w:rPr>
          <w:rFonts w:ascii="仿宋_GB2312" w:hAnsi="仿宋_GB2312" w:cs="仿宋_GB2312" w:eastAsia="仿宋_GB2312"/>
        </w:rPr>
        <w:t>联系电话：029-89573156</w:t>
      </w:r>
    </w:p>
    <w:p>
      <w:pPr>
        <w:pStyle w:val="null3"/>
      </w:pPr>
      <w:r>
        <w:rPr>
          <w:rFonts w:ascii="仿宋_GB2312" w:hAnsi="仿宋_GB2312" w:cs="仿宋_GB2312" w:eastAsia="仿宋_GB2312"/>
        </w:rPr>
        <w:t>地址：陕西省西安市未央区朱宏路福清商会大厦11层1101室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购买联影uCT 960+ 全保服务采购项目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联影uCT 960+ 全保</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标的名称：联影uCT 960+ 全保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技术</w:t>
            </w:r>
            <w:r>
              <w:rPr>
                <w:rFonts w:ascii="仿宋_GB2312" w:hAnsi="仿宋_GB2312" w:cs="仿宋_GB2312" w:eastAsia="仿宋_GB2312"/>
                <w:sz w:val="20"/>
              </w:rPr>
              <w:t>要求</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质量要求：所更换备件要求为</w:t>
            </w:r>
            <w:r>
              <w:rPr>
                <w:rFonts w:ascii="仿宋_GB2312" w:hAnsi="仿宋_GB2312" w:cs="仿宋_GB2312" w:eastAsia="仿宋_GB2312"/>
                <w:sz w:val="20"/>
              </w:rPr>
              <w:t>全新</w:t>
            </w:r>
            <w:r>
              <w:rPr>
                <w:rFonts w:ascii="仿宋_GB2312" w:hAnsi="仿宋_GB2312" w:cs="仿宋_GB2312" w:eastAsia="仿宋_GB2312"/>
                <w:sz w:val="20"/>
              </w:rPr>
              <w:t>备件，确保系统能按照制造商的产</w:t>
            </w:r>
            <w:r>
              <w:rPr>
                <w:rFonts w:ascii="仿宋_GB2312" w:hAnsi="仿宋_GB2312" w:cs="仿宋_GB2312" w:eastAsia="仿宋_GB2312"/>
                <w:sz w:val="20"/>
              </w:rPr>
              <w:t>品规格运行的标准来维修及使用。</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全保：全部备件和人工</w:t>
            </w:r>
            <w:r>
              <w:rPr>
                <w:rFonts w:ascii="仿宋_GB2312" w:hAnsi="仿宋_GB2312" w:cs="仿宋_GB2312" w:eastAsia="仿宋_GB2312"/>
                <w:sz w:val="20"/>
              </w:rPr>
              <w:t>服务</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整机</w:t>
            </w:r>
            <w:r>
              <w:rPr>
                <w:rFonts w:ascii="仿宋_GB2312" w:hAnsi="仿宋_GB2312" w:cs="仿宋_GB2312" w:eastAsia="仿宋_GB2312"/>
                <w:sz w:val="20"/>
              </w:rPr>
              <w:t>全</w:t>
            </w:r>
            <w:r>
              <w:rPr>
                <w:rFonts w:ascii="仿宋_GB2312" w:hAnsi="仿宋_GB2312" w:cs="仿宋_GB2312" w:eastAsia="仿宋_GB2312"/>
                <w:sz w:val="20"/>
              </w:rPr>
              <w:t>保（包含球管，高压发生器，探测器模块</w:t>
            </w:r>
            <w:r>
              <w:rPr>
                <w:rFonts w:ascii="仿宋_GB2312" w:hAnsi="仿宋_GB2312" w:cs="仿宋_GB2312" w:eastAsia="仿宋_GB2312"/>
                <w:sz w:val="20"/>
              </w:rPr>
              <w:t>等</w:t>
            </w:r>
            <w:r>
              <w:rPr>
                <w:rFonts w:ascii="仿宋_GB2312" w:hAnsi="仿宋_GB2312" w:cs="仿宋_GB2312" w:eastAsia="仿宋_GB2312"/>
                <w:sz w:val="20"/>
              </w:rPr>
              <w:t>）；含扫描间精密空调保修</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备件：设备更换备件为全新测试合格的备件</w:t>
            </w:r>
            <w:r>
              <w:rPr>
                <w:rFonts w:ascii="仿宋_GB2312" w:hAnsi="仿宋_GB2312" w:cs="仿宋_GB2312" w:eastAsia="仿宋_GB2312"/>
                <w:sz w:val="20"/>
              </w:rPr>
              <w:t>,保证</w:t>
            </w:r>
            <w:r>
              <w:rPr>
                <w:rFonts w:ascii="仿宋_GB2312" w:hAnsi="仿宋_GB2312" w:cs="仿宋_GB2312" w:eastAsia="仿宋_GB2312"/>
                <w:sz w:val="20"/>
              </w:rPr>
              <w:t>维修后性能不降低</w:t>
            </w:r>
            <w:r>
              <w:rPr>
                <w:rFonts w:ascii="仿宋_GB2312" w:hAnsi="仿宋_GB2312" w:cs="仿宋_GB2312" w:eastAsia="仿宋_GB2312"/>
                <w:sz w:val="20"/>
              </w:rPr>
              <w:t>,备件供应充足,保障整机运行达到原厂标准。</w:t>
            </w:r>
          </w:p>
          <w:p>
            <w:pPr>
              <w:pStyle w:val="null3"/>
              <w:ind w:firstLine="400"/>
              <w:jc w:val="left"/>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供应商须提供不限次数的现场检修及零件备件更换服务，包含节假日</w:t>
            </w:r>
            <w:r>
              <w:rPr>
                <w:rFonts w:ascii="仿宋_GB2312" w:hAnsi="仿宋_GB2312" w:cs="仿宋_GB2312" w:eastAsia="仿宋_GB2312"/>
                <w:sz w:val="20"/>
              </w:rPr>
              <w:t>在线支持：</w:t>
            </w:r>
            <w:r>
              <w:rPr>
                <w:rFonts w:ascii="仿宋_GB2312" w:hAnsi="仿宋_GB2312" w:cs="仿宋_GB2312" w:eastAsia="仿宋_GB2312"/>
                <w:sz w:val="20"/>
              </w:rPr>
              <w:t>24小时*365天的热线服务。拨打维修热线后</w:t>
            </w:r>
            <w:r>
              <w:rPr>
                <w:rFonts w:ascii="仿宋_GB2312" w:hAnsi="仿宋_GB2312" w:cs="仿宋_GB2312" w:eastAsia="仿宋_GB2312"/>
                <w:sz w:val="20"/>
              </w:rPr>
              <w:t>30分钟内</w:t>
            </w:r>
            <w:r>
              <w:rPr>
                <w:rFonts w:ascii="仿宋_GB2312" w:hAnsi="仿宋_GB2312" w:cs="仿宋_GB2312" w:eastAsia="仿宋_GB2312"/>
                <w:sz w:val="20"/>
              </w:rPr>
              <w:t>安排资深工程师在线技术支持、答疑，即时诊断机器故障，制定维修方案。</w:t>
            </w:r>
          </w:p>
          <w:p>
            <w:pPr>
              <w:pStyle w:val="null3"/>
              <w:ind w:firstLine="400"/>
              <w:jc w:val="left"/>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现场检修：接到报修后</w:t>
            </w:r>
            <w:r>
              <w:rPr>
                <w:rFonts w:ascii="仿宋_GB2312" w:hAnsi="仿宋_GB2312" w:cs="仿宋_GB2312" w:eastAsia="仿宋_GB2312"/>
                <w:sz w:val="20"/>
              </w:rPr>
              <w:t>8</w:t>
            </w:r>
            <w:r>
              <w:rPr>
                <w:rFonts w:ascii="仿宋_GB2312" w:hAnsi="仿宋_GB2312" w:cs="仿宋_GB2312" w:eastAsia="仿宋_GB2312"/>
                <w:sz w:val="20"/>
              </w:rPr>
              <w:t>小时内派遣认证合格的专业工程师到现场维修设备。</w:t>
            </w:r>
          </w:p>
          <w:p>
            <w:pPr>
              <w:pStyle w:val="null3"/>
              <w:ind w:firstLine="400"/>
              <w:jc w:val="left"/>
            </w:pP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工程师资格证明：</w:t>
            </w:r>
            <w:r>
              <w:rPr>
                <w:rFonts w:ascii="仿宋_GB2312" w:hAnsi="仿宋_GB2312" w:cs="仿宋_GB2312" w:eastAsia="仿宋_GB2312"/>
                <w:sz w:val="20"/>
              </w:rPr>
              <w:t>现场维修</w:t>
            </w:r>
            <w:r>
              <w:rPr>
                <w:rFonts w:ascii="仿宋_GB2312" w:hAnsi="仿宋_GB2312" w:cs="仿宋_GB2312" w:eastAsia="仿宋_GB2312"/>
                <w:sz w:val="20"/>
              </w:rPr>
              <w:t>工程师需经过</w:t>
            </w:r>
            <w:r>
              <w:rPr>
                <w:rFonts w:ascii="仿宋_GB2312" w:hAnsi="仿宋_GB2312" w:cs="仿宋_GB2312" w:eastAsia="仿宋_GB2312"/>
                <w:sz w:val="20"/>
              </w:rPr>
              <w:t>维修</w:t>
            </w:r>
            <w:r>
              <w:rPr>
                <w:rFonts w:ascii="仿宋_GB2312" w:hAnsi="仿宋_GB2312" w:cs="仿宋_GB2312" w:eastAsia="仿宋_GB2312"/>
                <w:sz w:val="20"/>
              </w:rPr>
              <w:t>专业</w:t>
            </w:r>
            <w:r>
              <w:rPr>
                <w:rFonts w:ascii="仿宋_GB2312" w:hAnsi="仿宋_GB2312" w:cs="仿宋_GB2312" w:eastAsia="仿宋_GB2312"/>
                <w:sz w:val="20"/>
              </w:rPr>
              <w:t>培训</w:t>
            </w:r>
            <w:r>
              <w:rPr>
                <w:rFonts w:ascii="仿宋_GB2312" w:hAnsi="仿宋_GB2312" w:cs="仿宋_GB2312" w:eastAsia="仿宋_GB2312"/>
                <w:sz w:val="20"/>
              </w:rPr>
              <w:t>,并提供培训证明。</w:t>
            </w:r>
          </w:p>
          <w:p>
            <w:pPr>
              <w:pStyle w:val="null3"/>
              <w:ind w:firstLine="400"/>
              <w:jc w:val="left"/>
            </w:pP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工作站：提供工作站的保修（包含联影</w:t>
            </w:r>
            <w:r>
              <w:rPr>
                <w:rFonts w:ascii="仿宋_GB2312" w:hAnsi="仿宋_GB2312" w:cs="仿宋_GB2312" w:eastAsia="仿宋_GB2312"/>
                <w:sz w:val="20"/>
              </w:rPr>
              <w:t>“探索者科研平台”）</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定期维护：对</w:t>
            </w:r>
            <w:r>
              <w:rPr>
                <w:rFonts w:ascii="仿宋_GB2312" w:hAnsi="仿宋_GB2312" w:cs="仿宋_GB2312" w:eastAsia="仿宋_GB2312"/>
                <w:sz w:val="20"/>
              </w:rPr>
              <w:t>CT设备每年提供4次定期预防性维护、保养、计划性定期的维修服务检测。包括设备清洁、性能测试及校准、必要的机械或电气的检查，以及非紧急性质的补救性维修，并定期对设备的数据进行备份，具体内容包括：（1）系统基本情况检查;（2）图像质量检查;（3）球管使用情况检查;（4）重建系统检查;（5）滑环通讯检查;（6）软件等等。服务期内，服务商在维修更换配件时引发医院CT机其他新故障时，由服务商自行解决故障及配件，全部费用由服务</w:t>
            </w:r>
            <w:r>
              <w:rPr>
                <w:rFonts w:ascii="仿宋_GB2312" w:hAnsi="仿宋_GB2312" w:cs="仿宋_GB2312" w:eastAsia="仿宋_GB2312"/>
                <w:sz w:val="20"/>
              </w:rPr>
              <w:t>商支付。</w:t>
            </w:r>
          </w:p>
          <w:p>
            <w:pPr>
              <w:pStyle w:val="null3"/>
              <w:ind w:firstLine="400"/>
              <w:jc w:val="left"/>
            </w:pP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根据需求，工程师</w:t>
            </w:r>
            <w:r>
              <w:rPr>
                <w:rFonts w:ascii="仿宋_GB2312" w:hAnsi="仿宋_GB2312" w:cs="仿宋_GB2312" w:eastAsia="仿宋_GB2312"/>
                <w:sz w:val="20"/>
              </w:rPr>
              <w:t>须</w:t>
            </w:r>
            <w:r>
              <w:rPr>
                <w:rFonts w:ascii="仿宋_GB2312" w:hAnsi="仿宋_GB2312" w:cs="仿宋_GB2312" w:eastAsia="仿宋_GB2312"/>
                <w:sz w:val="20"/>
              </w:rPr>
              <w:t>到达现场配合相关质检部门和医院的检测达标工作</w:t>
            </w:r>
            <w:r>
              <w:rPr>
                <w:rFonts w:ascii="仿宋_GB2312" w:hAnsi="仿宋_GB2312" w:cs="仿宋_GB2312" w:eastAsia="仿宋_GB2312"/>
                <w:sz w:val="20"/>
              </w:rPr>
              <w:t>，</w:t>
            </w:r>
            <w:r>
              <w:rPr>
                <w:rFonts w:ascii="仿宋_GB2312" w:hAnsi="仿宋_GB2312" w:cs="仿宋_GB2312" w:eastAsia="仿宋_GB2312"/>
                <w:sz w:val="20"/>
              </w:rPr>
              <w:t>发现问题及时整改</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备件到达现场时间：普通零配件</w:t>
            </w:r>
            <w:r>
              <w:rPr>
                <w:rFonts w:ascii="仿宋_GB2312" w:hAnsi="仿宋_GB2312" w:cs="仿宋_GB2312" w:eastAsia="仿宋_GB2312"/>
                <w:sz w:val="20"/>
              </w:rPr>
              <w:t>≤</w:t>
            </w:r>
            <w:r>
              <w:rPr>
                <w:rFonts w:ascii="仿宋_GB2312" w:hAnsi="仿宋_GB2312" w:cs="仿宋_GB2312" w:eastAsia="仿宋_GB2312"/>
                <w:sz w:val="20"/>
              </w:rPr>
              <w:t>24</w:t>
            </w:r>
            <w:r>
              <w:rPr>
                <w:rFonts w:ascii="仿宋_GB2312" w:hAnsi="仿宋_GB2312" w:cs="仿宋_GB2312" w:eastAsia="仿宋_GB2312"/>
                <w:sz w:val="20"/>
              </w:rPr>
              <w:t>小时，</w:t>
            </w:r>
            <w:r>
              <w:rPr>
                <w:rFonts w:ascii="仿宋_GB2312" w:hAnsi="仿宋_GB2312" w:cs="仿宋_GB2312" w:eastAsia="仿宋_GB2312"/>
                <w:sz w:val="20"/>
              </w:rPr>
              <w:t>关键</w:t>
            </w:r>
            <w:r>
              <w:rPr>
                <w:rFonts w:ascii="仿宋_GB2312" w:hAnsi="仿宋_GB2312" w:cs="仿宋_GB2312" w:eastAsia="仿宋_GB2312"/>
                <w:sz w:val="20"/>
              </w:rPr>
              <w:t>配件</w:t>
            </w:r>
            <w:r>
              <w:rPr>
                <w:rFonts w:ascii="仿宋_GB2312" w:hAnsi="仿宋_GB2312" w:cs="仿宋_GB2312" w:eastAsia="仿宋_GB2312"/>
                <w:sz w:val="20"/>
              </w:rPr>
              <w:t>≤</w:t>
            </w:r>
            <w:r>
              <w:rPr>
                <w:rFonts w:ascii="仿宋_GB2312" w:hAnsi="仿宋_GB2312" w:cs="仿宋_GB2312" w:eastAsia="仿宋_GB2312"/>
                <w:sz w:val="20"/>
              </w:rPr>
              <w:t>48</w:t>
            </w:r>
            <w:r>
              <w:rPr>
                <w:rFonts w:ascii="仿宋_GB2312" w:hAnsi="仿宋_GB2312" w:cs="仿宋_GB2312" w:eastAsia="仿宋_GB2312"/>
                <w:sz w:val="20"/>
              </w:rPr>
              <w:t>小时。</w:t>
            </w:r>
          </w:p>
          <w:p>
            <w:pPr>
              <w:pStyle w:val="null3"/>
              <w:ind w:firstLine="400"/>
              <w:jc w:val="left"/>
            </w:pPr>
            <w:r>
              <w:rPr>
                <w:rFonts w:ascii="仿宋_GB2312" w:hAnsi="仿宋_GB2312" w:cs="仿宋_GB2312" w:eastAsia="仿宋_GB2312"/>
                <w:sz w:val="20"/>
              </w:rPr>
              <w:t>11</w:t>
            </w:r>
            <w:r>
              <w:rPr>
                <w:rFonts w:ascii="仿宋_GB2312" w:hAnsi="仿宋_GB2312" w:cs="仿宋_GB2312" w:eastAsia="仿宋_GB2312"/>
                <w:sz w:val="20"/>
              </w:rPr>
              <w:t>.</w:t>
            </w:r>
            <w:r>
              <w:rPr>
                <w:rFonts w:ascii="仿宋_GB2312" w:hAnsi="仿宋_GB2312" w:cs="仿宋_GB2312" w:eastAsia="仿宋_GB2312"/>
                <w:sz w:val="20"/>
              </w:rPr>
              <w:t>开机率保证：保证开机率不低于</w:t>
            </w:r>
            <w:r>
              <w:rPr>
                <w:rFonts w:ascii="仿宋_GB2312" w:hAnsi="仿宋_GB2312" w:cs="仿宋_GB2312" w:eastAsia="仿宋_GB2312"/>
                <w:sz w:val="20"/>
              </w:rPr>
              <w:t>95%（按365天计算）。即每年停机不超过18天</w:t>
            </w:r>
            <w:r>
              <w:rPr>
                <w:rFonts w:ascii="仿宋_GB2312" w:hAnsi="仿宋_GB2312" w:cs="仿宋_GB2312" w:eastAsia="仿宋_GB2312"/>
                <w:sz w:val="20"/>
              </w:rPr>
              <w:t>；</w:t>
            </w:r>
            <w:r>
              <w:rPr>
                <w:rFonts w:ascii="仿宋_GB2312" w:hAnsi="仿宋_GB2312" w:cs="仿宋_GB2312" w:eastAsia="仿宋_GB2312"/>
                <w:sz w:val="20"/>
              </w:rPr>
              <w:t>同时单次修复</w:t>
            </w:r>
            <w:r>
              <w:rPr>
                <w:rFonts w:ascii="仿宋_GB2312" w:hAnsi="仿宋_GB2312" w:cs="仿宋_GB2312" w:eastAsia="仿宋_GB2312"/>
                <w:sz w:val="20"/>
              </w:rPr>
              <w:t>≤72小时</w:t>
            </w:r>
            <w:r>
              <w:rPr>
                <w:rFonts w:ascii="仿宋_GB2312" w:hAnsi="仿宋_GB2312" w:cs="仿宋_GB2312" w:eastAsia="仿宋_GB2312"/>
                <w:sz w:val="20"/>
              </w:rPr>
              <w:t>。如超过</w:t>
            </w:r>
            <w:r>
              <w:rPr>
                <w:rFonts w:ascii="仿宋_GB2312" w:hAnsi="仿宋_GB2312" w:cs="仿宋_GB2312" w:eastAsia="仿宋_GB2312"/>
                <w:sz w:val="20"/>
              </w:rPr>
              <w:t>1天，</w:t>
            </w:r>
            <w:r>
              <w:rPr>
                <w:rFonts w:ascii="仿宋_GB2312" w:hAnsi="仿宋_GB2312" w:cs="仿宋_GB2312" w:eastAsia="仿宋_GB2312"/>
                <w:sz w:val="20"/>
              </w:rPr>
              <w:t>保修期</w:t>
            </w:r>
            <w:r>
              <w:rPr>
                <w:rFonts w:ascii="仿宋_GB2312" w:hAnsi="仿宋_GB2312" w:cs="仿宋_GB2312" w:eastAsia="仿宋_GB2312"/>
                <w:sz w:val="20"/>
              </w:rPr>
              <w:t>顺延</w:t>
            </w:r>
            <w:r>
              <w:rPr>
                <w:rFonts w:ascii="仿宋_GB2312" w:hAnsi="仿宋_GB2312" w:cs="仿宋_GB2312" w:eastAsia="仿宋_GB2312"/>
                <w:sz w:val="20"/>
              </w:rPr>
              <w:t>5天并扣除维保费</w:t>
            </w:r>
            <w:r>
              <w:rPr>
                <w:rFonts w:ascii="仿宋_GB2312" w:hAnsi="仿宋_GB2312" w:cs="仿宋_GB2312" w:eastAsia="仿宋_GB2312"/>
                <w:sz w:val="20"/>
              </w:rPr>
              <w:t>3000元/天。</w:t>
            </w:r>
          </w:p>
          <w:p>
            <w:pPr>
              <w:pStyle w:val="null3"/>
              <w:ind w:firstLine="400"/>
              <w:jc w:val="left"/>
            </w:pPr>
            <w:r>
              <w:rPr>
                <w:rFonts w:ascii="仿宋_GB2312" w:hAnsi="仿宋_GB2312" w:cs="仿宋_GB2312" w:eastAsia="仿宋_GB2312"/>
                <w:sz w:val="20"/>
              </w:rPr>
              <w:t>12</w:t>
            </w:r>
            <w:r>
              <w:rPr>
                <w:rFonts w:ascii="仿宋_GB2312" w:hAnsi="仿宋_GB2312" w:cs="仿宋_GB2312" w:eastAsia="仿宋_GB2312"/>
                <w:sz w:val="20"/>
              </w:rPr>
              <w:t>.</w:t>
            </w:r>
            <w:r>
              <w:rPr>
                <w:rFonts w:ascii="仿宋_GB2312" w:hAnsi="仿宋_GB2312" w:cs="仿宋_GB2312" w:eastAsia="仿宋_GB2312"/>
                <w:sz w:val="20"/>
              </w:rPr>
              <w:t>及时获取并实施系统安全性软硬件改版通知，保修期内免费提供设备（含联影</w:t>
            </w:r>
            <w:r>
              <w:rPr>
                <w:rFonts w:ascii="仿宋_GB2312" w:hAnsi="仿宋_GB2312" w:cs="仿宋_GB2312" w:eastAsia="仿宋_GB2312"/>
                <w:sz w:val="20"/>
              </w:rPr>
              <w:t>“探索者科研平台”）的系统软件升级补丁和技术支持，保证所有系统软件为最新版本。</w:t>
            </w:r>
          </w:p>
          <w:p>
            <w:pPr>
              <w:pStyle w:val="null3"/>
              <w:ind w:firstLine="400"/>
              <w:jc w:val="left"/>
            </w:pPr>
            <w:r>
              <w:rPr>
                <w:rFonts w:ascii="仿宋_GB2312" w:hAnsi="仿宋_GB2312" w:cs="仿宋_GB2312" w:eastAsia="仿宋_GB2312"/>
                <w:sz w:val="20"/>
              </w:rPr>
              <w:t>13</w:t>
            </w:r>
            <w:r>
              <w:rPr>
                <w:rFonts w:ascii="仿宋_GB2312" w:hAnsi="仿宋_GB2312" w:cs="仿宋_GB2312" w:eastAsia="仿宋_GB2312"/>
                <w:sz w:val="20"/>
              </w:rPr>
              <w:t>.</w:t>
            </w:r>
            <w:r>
              <w:rPr>
                <w:rFonts w:ascii="仿宋_GB2312" w:hAnsi="仿宋_GB2312" w:cs="仿宋_GB2312" w:eastAsia="仿宋_GB2312"/>
                <w:sz w:val="20"/>
              </w:rPr>
              <w:t>服务期满后须</w:t>
            </w:r>
            <w:r>
              <w:rPr>
                <w:rFonts w:ascii="仿宋_GB2312" w:hAnsi="仿宋_GB2312" w:cs="仿宋_GB2312" w:eastAsia="仿宋_GB2312"/>
                <w:sz w:val="20"/>
              </w:rPr>
              <w:t>提供《维修报告》、《保养报告》、《设备年度保养报告》</w:t>
            </w:r>
            <w:r>
              <w:rPr>
                <w:rFonts w:ascii="仿宋_GB2312" w:hAnsi="仿宋_GB2312" w:cs="仿宋_GB2312" w:eastAsia="仿宋_GB2312"/>
                <w:sz w:val="20"/>
              </w:rPr>
              <w:t>及</w:t>
            </w:r>
            <w:r>
              <w:rPr>
                <w:rFonts w:ascii="仿宋_GB2312" w:hAnsi="仿宋_GB2312" w:cs="仿宋_GB2312" w:eastAsia="仿宋_GB2312"/>
                <w:sz w:val="20"/>
              </w:rPr>
              <w:t>《</w:t>
            </w:r>
            <w:r>
              <w:rPr>
                <w:rFonts w:ascii="仿宋_GB2312" w:hAnsi="仿宋_GB2312" w:cs="仿宋_GB2312" w:eastAsia="仿宋_GB2312"/>
                <w:sz w:val="20"/>
              </w:rPr>
              <w:t>验收</w:t>
            </w:r>
            <w:r>
              <w:rPr>
                <w:rFonts w:ascii="仿宋_GB2312" w:hAnsi="仿宋_GB2312" w:cs="仿宋_GB2312" w:eastAsia="仿宋_GB2312"/>
                <w:sz w:val="20"/>
              </w:rPr>
              <w:t>报告》</w:t>
            </w:r>
            <w:r>
              <w:rPr>
                <w:rFonts w:ascii="仿宋_GB2312" w:hAnsi="仿宋_GB2312" w:cs="仿宋_GB2312" w:eastAsia="仿宋_GB2312"/>
                <w:sz w:val="20"/>
              </w:rPr>
              <w:t>并</w:t>
            </w:r>
            <w:r>
              <w:rPr>
                <w:rFonts w:ascii="仿宋_GB2312" w:hAnsi="仿宋_GB2312" w:cs="仿宋_GB2312" w:eastAsia="仿宋_GB2312"/>
                <w:sz w:val="20"/>
              </w:rPr>
              <w:t>装订成册。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按照竞争性磋商文件、竞争性磋商响应文件及合同相关要求执行。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合同签订后，甲方收到乙方出具正式发票后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维保期结束后且无质量及其它问题，甲方收到乙方出具正式发票后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1、按《中华人民共和国民法典》中的相关条款执行。 2、未按合同要求提供，质量不能满足技术要求的，甲方有权解除合同（合同自书面解除通知到达乙方之日起解除），乙方赔偿甲方解除合同的全部损失（包括但不限于重新采购产生的费用及其它由此造成的甲方对第三方的违约损失）。同时按《政府采购法》有关处罚条款报监管机构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（1）为顺利推进政府采购电子化交易平台试点应用工作，供应商需要在线提交所有通过电子化交易平台实施的政府采购项目的响应文件，发布成交结果公告后，成交供应商应及时向采购代理机构 提交一正二副，书籍（胶装）方式装订的盖章的纸质文件，若正本和副本不一致的，以正本为准。送至陕西省西安市未央区朱宏路福清商会大厦11楼1101室（陕西华达峰信项目管理有限公司）。 （2）供应商务必在开标截止时间30分钟前，通过项目电子化交易系统进行签到，如未进行签到，产生的一起后果由供应商自行承担。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磋商响应文件（格式）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磋商响应文件（格式）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具有独立承担民事责任能力的法人，其他组织或自然人，并出具合法有效的统一社会信用代码的营业执照或事业单位法人证书等国家规定的相关证明，自然人参与地提供其身份证明;</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参加投标只需提供本人身份证】，其他形式供应商参照法人企业执行；被授权人须提供在本单位缴纳的社保记录（磋商响应文件递交截止时间前连续三个月）;</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提供2023或2024年度的审计报告（成立时间至提交投标文件截止时间不足一年的可提供成立后任意时段的资产负债表），或其基本存款账户开户银行出具的资信证明及基本存款账户开户许可证（基本账户信息表）;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社保保障资金缴纳证明</w:t>
            </w:r>
          </w:p>
        </w:tc>
        <w:tc>
          <w:tcPr>
            <w:tcW w:type="dxa" w:w="3322"/>
          </w:tcPr>
          <w:p>
            <w:pPr>
              <w:pStyle w:val="null3"/>
            </w:pPr>
            <w:r>
              <w:rPr>
                <w:rFonts w:ascii="仿宋_GB2312" w:hAnsi="仿宋_GB2312" w:cs="仿宋_GB2312" w:eastAsia="仿宋_GB2312"/>
              </w:rPr>
              <w:t>提供投标截止时间前6个月内至少一个月的社会保障资金缴存单据或社保机构开具的社会保险参保缴费情况证明，依法不需要缴纳社会保障资金的单位应提供相关证明材料;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提供投标截止时间前6个月内至少一个月的纳税证明或完税证明（任意税种，个人所得税除外），依法免税的单位应提供相关证明材料;</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供应商须符合《医疗器械监督管理条例》要求，供应商为制造商参与投标的提供医疗器械生产许可证或医疗器械生产备案证；代理或经销商参与投标的提供医疗器械经营许可证或医疗器械经营备案凭证;</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履行合同的书面承诺</w:t>
            </w:r>
          </w:p>
        </w:tc>
        <w:tc>
          <w:tcPr>
            <w:tcW w:type="dxa" w:w="3322"/>
          </w:tcPr>
          <w:p>
            <w:pPr>
              <w:pStyle w:val="null3"/>
            </w:pPr>
            <w:r>
              <w:rPr>
                <w:rFonts w:ascii="仿宋_GB2312" w:hAnsi="仿宋_GB2312" w:cs="仿宋_GB2312" w:eastAsia="仿宋_GB2312"/>
              </w:rPr>
              <w:t>承诺具备履行合同所必需的设备和专业技术能力;</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书）;</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供应商与采购人关联关系</w:t>
            </w:r>
          </w:p>
        </w:tc>
        <w:tc>
          <w:tcPr>
            <w:tcW w:type="dxa" w:w="3322"/>
          </w:tcPr>
          <w:p>
            <w:pPr>
              <w:pStyle w:val="null3"/>
            </w:pPr>
            <w:r>
              <w:rPr>
                <w:rFonts w:ascii="仿宋_GB2312" w:hAnsi="仿宋_GB2312" w:cs="仿宋_GB2312" w:eastAsia="仿宋_GB2312"/>
              </w:rPr>
              <w:t>本项目不接受由西安市第一医院职工及其亲属投资开办的企业参加本单位的政府采购活动（提供承诺函）;</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非联合体声明函</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磋商响应文件（格式）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内容无重大缺漏项，报价唯一，且没有高于采购预算及最高限价。</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响应文件的签署、加盖印章是否合格、有效；提供的相关证明文件、数据、资料是否齐全、有效。</w:t>
            </w:r>
          </w:p>
        </w:tc>
        <w:tc>
          <w:tcPr>
            <w:tcW w:type="dxa" w:w="1661"/>
          </w:tcPr>
          <w:p>
            <w:pPr>
              <w:pStyle w:val="null3"/>
            </w:pPr>
            <w:r>
              <w:rPr>
                <w:rFonts w:ascii="仿宋_GB2312" w:hAnsi="仿宋_GB2312" w:cs="仿宋_GB2312" w:eastAsia="仿宋_GB2312"/>
              </w:rPr>
              <w:t>响应文件封面 磋商响应文件（格式）</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其他无效投标情形</w:t>
            </w:r>
          </w:p>
        </w:tc>
        <w:tc>
          <w:tcPr>
            <w:tcW w:type="dxa" w:w="3322"/>
          </w:tcPr>
          <w:p>
            <w:pPr>
              <w:pStyle w:val="null3"/>
            </w:pPr>
            <w:r>
              <w:rPr>
                <w:rFonts w:ascii="仿宋_GB2312" w:hAnsi="仿宋_GB2312" w:cs="仿宋_GB2312" w:eastAsia="仿宋_GB2312"/>
              </w:rPr>
              <w:t>无磋商文件规定的其他无效投标情形。</w:t>
            </w:r>
          </w:p>
        </w:tc>
        <w:tc>
          <w:tcPr>
            <w:tcW w:type="dxa" w:w="1661"/>
          </w:tcPr>
          <w:p>
            <w:pPr>
              <w:pStyle w:val="null3"/>
            </w:pPr>
            <w:r>
              <w:rPr>
                <w:rFonts w:ascii="仿宋_GB2312" w:hAnsi="仿宋_GB2312" w:cs="仿宋_GB2312" w:eastAsia="仿宋_GB2312"/>
              </w:rPr>
              <w:t>磋商响应文件（格式）</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维保措施方案</w:t>
            </w:r>
          </w:p>
        </w:tc>
        <w:tc>
          <w:tcPr>
            <w:tcW w:type="dxa" w:w="2492"/>
          </w:tcPr>
          <w:p>
            <w:pPr>
              <w:pStyle w:val="null3"/>
            </w:pPr>
            <w:r>
              <w:rPr>
                <w:rFonts w:ascii="仿宋_GB2312" w:hAnsi="仿宋_GB2312" w:cs="仿宋_GB2312" w:eastAsia="仿宋_GB2312"/>
              </w:rPr>
              <w:t>提供详细的全年保养、维护计划，安全检查，性能测试及校准运行监控措施方案等。 1、维保措施方案齐全、详细、合理、可行且能够确保设备系统运行良好的，得10.1-15分； 2、维保措施方案内容完整，可行性、合理性一般，在确保设备系统运行正常等方面具有不确定性的，得6.1-10分； 3、维保措施方案简单、粗略或表述模糊不清晰的，得1-6分。 注：未提供得0分。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磋商响应文件（格式）</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根据服务响应、更换配件的技术指标与需求的吻合程度和偏差情况（提供详细的技术资料证明材料（包括但不限于产品彩页、测试报告、官网和功能截图等技术支持性资料、报关单等），按其响应程度计1-5分。 注：未提供得0分。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磋商响应文件（格式）</w:t>
            </w:r>
          </w:p>
        </w:tc>
      </w:tr>
      <w:tr>
        <w:tc>
          <w:tcPr>
            <w:tcW w:type="dxa" w:w="831"/>
            <w:vMerge/>
          </w:tcPr>
          <w:p/>
        </w:tc>
        <w:tc>
          <w:tcPr>
            <w:tcW w:type="dxa" w:w="1661"/>
          </w:tcPr>
          <w:p>
            <w:pPr>
              <w:pStyle w:val="null3"/>
            </w:pPr>
            <w:r>
              <w:rPr>
                <w:rFonts w:ascii="仿宋_GB2312" w:hAnsi="仿宋_GB2312" w:cs="仿宋_GB2312" w:eastAsia="仿宋_GB2312"/>
              </w:rPr>
              <w:t>拟投入项目组人员基本情况</w:t>
            </w:r>
          </w:p>
        </w:tc>
        <w:tc>
          <w:tcPr>
            <w:tcW w:type="dxa" w:w="2492"/>
          </w:tcPr>
          <w:p>
            <w:pPr>
              <w:pStyle w:val="null3"/>
            </w:pPr>
            <w:r>
              <w:rPr>
                <w:rFonts w:ascii="仿宋_GB2312" w:hAnsi="仿宋_GB2312" w:cs="仿宋_GB2312" w:eastAsia="仿宋_GB2312"/>
              </w:rPr>
              <w:t>项目负责人和项目组成员需具备同类项目实施能力及经验，人员均持证上岗，提供项目组成员专业力量人员架构的经验水平，提供职称资格证书、专业技术资格证书等（且承诺不得更换）。 1、人员架构科学、合理、专业，提供资格证书等材料完整得7.1-10分； 2、人员架构基本科学、合理，提供资格证书等材料基本完整得3.1-7分； 3、人员架构简单、提供材料不够完整得1-3分。 注：未提供得0分。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磋商响应文件（格式）</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针对设备可能出现的问题及重大故障，有具体可行的应急措施和解决方案，对故障响应时间、维修服务时限等有明确的承诺，按其响应程度计1-3分。 注：未提供得0分。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磋商响应文件（格式）</w:t>
            </w:r>
          </w:p>
        </w:tc>
      </w:tr>
      <w:tr>
        <w:tc>
          <w:tcPr>
            <w:tcW w:type="dxa" w:w="831"/>
            <w:vMerge/>
          </w:tcPr>
          <w:p/>
        </w:tc>
        <w:tc>
          <w:tcPr>
            <w:tcW w:type="dxa" w:w="1661"/>
          </w:tcPr>
          <w:p>
            <w:pPr>
              <w:pStyle w:val="null3"/>
            </w:pPr>
            <w:r>
              <w:rPr>
                <w:rFonts w:ascii="仿宋_GB2312" w:hAnsi="仿宋_GB2312" w:cs="仿宋_GB2312" w:eastAsia="仿宋_GB2312"/>
              </w:rPr>
              <w:t>提供配件时间进度安排计划</w:t>
            </w:r>
          </w:p>
        </w:tc>
        <w:tc>
          <w:tcPr>
            <w:tcW w:type="dxa" w:w="2492"/>
          </w:tcPr>
          <w:p>
            <w:pPr>
              <w:pStyle w:val="null3"/>
            </w:pPr>
            <w:r>
              <w:rPr>
                <w:rFonts w:ascii="仿宋_GB2312" w:hAnsi="仿宋_GB2312" w:cs="仿宋_GB2312" w:eastAsia="仿宋_GB2312"/>
              </w:rPr>
              <w:t>提供配件进度安排一览表或说明，要求时间进度安排详细完善、科学、合理。 1、详细完善、科学、合理的时间保证措施。得4.1-7分； 2、较完善、科学、合理的时间保证措施。得1-4分。 注：未提供得0分。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磋商响应文件（格式）</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一、健全服务质量保障措施与计划，确保设备使用可靠、稳定、性能充分发挥： 1、服务质量保障制度、体系完善，具体措施得力、有效的，得5.1-7分； 2、具备基本得服务质量保障制度、体系，具体措施齐全但可行性一般的，得3.1-5分； 3、缺少基本的服务质量保障制度、体系，保障措施简单的，得1-3分。 注：未提供得0分。 二、供应商提供的所有维修备件均应符合行业标准且能够与原设备配套兼容，按其响应程度计1-3分。 注：未提供得0分。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磋商响应文件（格式）</w:t>
            </w:r>
          </w:p>
        </w:tc>
      </w:tr>
      <w:tr>
        <w:tc>
          <w:tcPr>
            <w:tcW w:type="dxa" w:w="831"/>
            <w:vMerge/>
          </w:tcPr>
          <w:p/>
        </w:tc>
        <w:tc>
          <w:tcPr>
            <w:tcW w:type="dxa" w:w="1661"/>
          </w:tcPr>
          <w:p>
            <w:pPr>
              <w:pStyle w:val="null3"/>
            </w:pPr>
            <w:r>
              <w:rPr>
                <w:rFonts w:ascii="仿宋_GB2312" w:hAnsi="仿宋_GB2312" w:cs="仿宋_GB2312" w:eastAsia="仿宋_GB2312"/>
              </w:rPr>
              <w:t>配件来源</w:t>
            </w:r>
          </w:p>
        </w:tc>
        <w:tc>
          <w:tcPr>
            <w:tcW w:type="dxa" w:w="2492"/>
          </w:tcPr>
          <w:p>
            <w:pPr>
              <w:pStyle w:val="null3"/>
            </w:pPr>
            <w:r>
              <w:rPr>
                <w:rFonts w:ascii="仿宋_GB2312" w:hAnsi="仿宋_GB2312" w:cs="仿宋_GB2312" w:eastAsia="仿宋_GB2312"/>
              </w:rPr>
              <w:t>维保方所供配件（球管、高压发生器、探测器模块）均为原厂配件，并提供配件的合法来源渠道证明文件及技术资料（包括但不限于产品授权、销售协议、代理协议等）。提供完整计满分，提供不全或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磋商响应文件（格式）</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服务承诺条款具体、可行并对本项目有详细的售后服务措施承诺。 1、服务承诺合理可行，信息反馈措施完善、高效得5.1-10分； 2、服务承诺及信息反馈措施一般得1-5分。 注：未提供得0分。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磋商响应文件（格式）</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提供供应商2022年5月1日至今的同类业绩证明文件，每提供一份得2分，满分10分。（注：以合同签订时间为准，提供完整合同复印件并加盖公章）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磋商响应文件（格式）</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 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详见附件：磋商响应文件（格式）</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