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版本号：0617-25D6HZ107420250515001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消防设施设备改造提升项目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0617-25D6HZ1074</w:t>
      </w:r>
      <w:r>
        <w:br/>
      </w:r>
      <w:r>
        <w:br/>
      </w:r>
      <w:r>
        <w:br/>
      </w:r>
    </w:p>
    <w:p>
      <w:pPr>
        <w:pStyle w:val="null3"/>
        <w:jc w:val="center"/>
        <w:outlineLvl w:val="2"/>
      </w:pPr>
      <w:r>
        <w:rPr>
          <w:rFonts w:ascii="仿宋_GB2312" w:hAnsi="仿宋_GB2312" w:cs="仿宋_GB2312" w:eastAsia="仿宋_GB2312"/>
          <w:sz w:val="28"/>
          <w:b/>
        </w:rPr>
        <w:t>西安市育才中学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西安市育才中学</w:t>
      </w:r>
      <w:r>
        <w:rPr>
          <w:rFonts w:ascii="仿宋_GB2312" w:hAnsi="仿宋_GB2312" w:cs="仿宋_GB2312" w:eastAsia="仿宋_GB2312"/>
        </w:rPr>
        <w:t>委托，拟对</w:t>
      </w:r>
      <w:r>
        <w:rPr>
          <w:rFonts w:ascii="仿宋_GB2312" w:hAnsi="仿宋_GB2312" w:cs="仿宋_GB2312" w:eastAsia="仿宋_GB2312"/>
        </w:rPr>
        <w:t>消防设施设备改造提升项目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0617-25D6HZ1074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消防设施设备改造提升项目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我校建筑物建于上世纪90年代初，由于时代局限性，整个校园未设计建设消防自动喷淋系统。后期装修改造时，虽对重点部室食堂、图书馆和阅览室虽然预留了烟感系统和喷淋系统，但未建设消防主控室，系统形同虚设。学校消防安全形势日趋严峻，对学校财产和师生人身安全构成了严重威胁。学校将新建消防控制室，整合校园整体消防设施，完善学校消防应急系统，保障校园和师生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采购包1（消防设施设备改造提升项目）：属于专门面向小微企业采购。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1、营业执照：供应商为具有独立承担民事责任能力的法人、其他组织或自然人。企业法人应提供合法有效的标识 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2、法定代表人或其授权代理人：供应商应授权合法的人员参加投标全过程，其中法定代表人直接参加投标的，须出具本人身份证， 并于营业执照上信息一致。法定代表人授权代表参加投标的，须出具法定代表人授权书及授权代表身份证。</w:t>
      </w:r>
    </w:p>
    <w:p>
      <w:pPr>
        <w:pStyle w:val="null3"/>
      </w:pPr>
      <w:r>
        <w:rPr>
          <w:rFonts w:ascii="仿宋_GB2312" w:hAnsi="仿宋_GB2312" w:cs="仿宋_GB2312" w:eastAsia="仿宋_GB2312"/>
        </w:rPr>
        <w:t>3、企业资质：供应商须具备建设行政主管部门颁发的消防设施工程专业承包二级（含）以上资质，且具备有效的安全生产许可证，并在人员、设备、资金等方面具备相应施工能力且无不良记录。</w:t>
      </w:r>
    </w:p>
    <w:p>
      <w:pPr>
        <w:pStyle w:val="null3"/>
      </w:pPr>
      <w:r>
        <w:rPr>
          <w:rFonts w:ascii="仿宋_GB2312" w:hAnsi="仿宋_GB2312" w:cs="仿宋_GB2312" w:eastAsia="仿宋_GB2312"/>
        </w:rPr>
        <w:t>4、拟派项目经理资格和专业要求：拟派项目经理具备机电工程专业二级（或以上）注册建造师执业资格和有效的安全生产考核合格证书（建安B证），且未担任其他在施建设工程项目的项目经理（提供无在建承诺函）；</w:t>
      </w:r>
    </w:p>
    <w:p>
      <w:pPr>
        <w:pStyle w:val="null3"/>
      </w:pPr>
      <w:r>
        <w:rPr>
          <w:rFonts w:ascii="仿宋_GB2312" w:hAnsi="仿宋_GB2312" w:cs="仿宋_GB2312" w:eastAsia="仿宋_GB2312"/>
        </w:rPr>
        <w:t>5、企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6、其他要求：①税收缴纳证明：提供供应商自磋商前一年内至少一个月已缴纳的增值税或营业税或企业所得税的凭据或税务机关开具的完税证明；依法免税的应提供相关文件证明; ②社会保障资金缴纳证明：提供供应商自磋商前一年内已缴纳的至少一个月的社会保障资金缴存单据或社保机构开具的社会保险参保缴费情况证明，依法不需要缴纳社会保障资金的单位应提供相关证明材料； ③具有履行合同所必需的设备和专业技术能力的承诺； ④提供参加本次政府采购活动前三年内在经营活动中没有重大违法记录的书面声明。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西安市育才中学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西安市小寨兴善寺东街115号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029-81543495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18192488280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代理服务收费管理暂行办法》的通知（计价格〔2002〕1980号）、《国家发展和改革委员会办公厅关于代理服务收费有关问题的通知》（发改办价格〔2003〕857号）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西安市育才中学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西安市育才中学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西安市育才中学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联系人：刘荔</w:t>
      </w:r>
    </w:p>
    <w:p>
      <w:pPr>
        <w:pStyle w:val="null3"/>
      </w:pPr>
      <w:r>
        <w:rPr>
          <w:rFonts w:ascii="仿宋_GB2312" w:hAnsi="仿宋_GB2312" w:cs="仿宋_GB2312" w:eastAsia="仿宋_GB2312"/>
        </w:rPr>
        <w:t>联系电话：18192488280</w:t>
      </w:r>
    </w:p>
    <w:p>
      <w:pPr>
        <w:pStyle w:val="null3"/>
      </w:pPr>
      <w:r>
        <w:rPr>
          <w:rFonts w:ascii="仿宋_GB2312" w:hAnsi="仿宋_GB2312" w:cs="仿宋_GB2312" w:eastAsia="仿宋_GB2312"/>
        </w:rPr>
        <w:t>地址：陕西省西安市雁塔区南二环西段58号成长大厦10-14层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消防设施设备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18"/>
                <w:color w:val="000000"/>
              </w:rPr>
              <w:t>一</w:t>
            </w:r>
            <w:r>
              <w:rPr>
                <w:rFonts w:ascii="仿宋_GB2312" w:hAnsi="仿宋_GB2312" w:cs="仿宋_GB2312" w:eastAsia="仿宋_GB2312"/>
                <w:sz w:val="18"/>
                <w:color w:val="000000"/>
              </w:rPr>
              <w:t>.项目概况</w:t>
            </w:r>
          </w:p>
          <w:p>
            <w:pPr>
              <w:pStyle w:val="null3"/>
              <w:spacing w:before="105" w:after="105"/>
              <w:ind w:firstLine="360"/>
              <w:jc w:val="left"/>
            </w:pPr>
            <w:r>
              <w:rPr>
                <w:rFonts w:ascii="仿宋_GB2312" w:hAnsi="仿宋_GB2312" w:cs="仿宋_GB2312" w:eastAsia="仿宋_GB2312"/>
                <w:sz w:val="18"/>
                <w:color w:val="000000"/>
              </w:rPr>
              <w:t>我校建筑物建于上世纪</w:t>
            </w:r>
            <w:r>
              <w:rPr>
                <w:rFonts w:ascii="仿宋_GB2312" w:hAnsi="仿宋_GB2312" w:cs="仿宋_GB2312" w:eastAsia="仿宋_GB2312"/>
                <w:sz w:val="18"/>
                <w:color w:val="000000"/>
              </w:rPr>
              <w:t>90年代初，由于时代局限性，整个校园未设计建设消防自动喷淋系统。后期装修改造时，虽对重点部室食堂、图书馆和阅览室虽然预留了烟感系统和喷淋系统，但未建设消防主控室，系统形同虚设。学校消防安全形势日趋严峻，对学校财产和师生人身安全构成了严重威胁。学校将新建消防控制室，整合校园整体消防设施，完善学校消防应急系统，保障校园和师生安全。</w:t>
            </w:r>
          </w:p>
          <w:p>
            <w:pPr>
              <w:pStyle w:val="null3"/>
              <w:spacing w:before="105" w:after="105"/>
              <w:jc w:val="left"/>
            </w:pPr>
            <w:r>
              <w:rPr>
                <w:rFonts w:ascii="仿宋_GB2312" w:hAnsi="仿宋_GB2312" w:cs="仿宋_GB2312" w:eastAsia="仿宋_GB2312"/>
                <w:sz w:val="18"/>
                <w:color w:val="000000"/>
              </w:rPr>
              <w:t>二</w:t>
            </w:r>
            <w:r>
              <w:rPr>
                <w:rFonts w:ascii="仿宋_GB2312" w:hAnsi="仿宋_GB2312" w:cs="仿宋_GB2312" w:eastAsia="仿宋_GB2312"/>
                <w:sz w:val="18"/>
                <w:color w:val="000000"/>
              </w:rPr>
              <w:t>.工程技术标准及要求</w:t>
            </w:r>
          </w:p>
          <w:p>
            <w:pPr>
              <w:pStyle w:val="null3"/>
              <w:spacing w:before="105" w:after="105"/>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1）本工程的施工过程和成果必须符合国家有关工程建设标准强制性条文和国家或有关部门关于工程施工方面现行的标准、规范、规程、定额、办法、示例，以及西安市关于工程施工方面的文件、规定。</w:t>
            </w:r>
          </w:p>
          <w:p>
            <w:pPr>
              <w:pStyle w:val="null3"/>
              <w:spacing w:before="105" w:after="105"/>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2）成交供应商在施工过程中使用或参考上述标准、规范以外的技术标准、规范时，应征得采购人的同意。</w:t>
            </w:r>
          </w:p>
          <w:p>
            <w:pPr>
              <w:pStyle w:val="null3"/>
              <w:spacing w:before="105" w:after="105"/>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3）在施工过程中，如果国家或有关部门颁布了新的技术标准或规范，则成交供应商应采用新的标准或规范进行施工。</w:t>
            </w:r>
          </w:p>
          <w:p>
            <w:pPr>
              <w:pStyle w:val="null3"/>
              <w:spacing w:before="105" w:after="105"/>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4）采购人提供工程的施工图纸和相关技术文件，是采购人现有的能被供应商利用的资料，采购人对供应商做出的任何推论、理解均不负责任。</w:t>
            </w:r>
          </w:p>
          <w:p>
            <w:pPr>
              <w:pStyle w:val="null3"/>
              <w:spacing w:before="105" w:after="105"/>
              <w:jc w:val="left"/>
            </w:pPr>
            <w:r>
              <w:rPr>
                <w:rFonts w:ascii="仿宋_GB2312" w:hAnsi="仿宋_GB2312" w:cs="仿宋_GB2312" w:eastAsia="仿宋_GB2312"/>
                <w:sz w:val="18"/>
                <w:color w:val="000000"/>
              </w:rPr>
              <w:t>三</w:t>
            </w:r>
            <w:r>
              <w:rPr>
                <w:rFonts w:ascii="仿宋_GB2312" w:hAnsi="仿宋_GB2312" w:cs="仿宋_GB2312" w:eastAsia="仿宋_GB2312"/>
                <w:sz w:val="18"/>
                <w:color w:val="000000"/>
              </w:rPr>
              <w:t>.本项目工程量清单及图纸详见附件</w:t>
            </w:r>
          </w:p>
          <w:p>
            <w:pPr>
              <w:pStyle w:val="null3"/>
              <w:spacing w:before="105" w:after="105"/>
              <w:jc w:val="left"/>
            </w:pPr>
            <w:r>
              <w:rPr>
                <w:rFonts w:ascii="仿宋_GB2312" w:hAnsi="仿宋_GB2312" w:cs="仿宋_GB2312" w:eastAsia="仿宋_GB2312"/>
                <w:sz w:val="18"/>
                <w:color w:val="000000"/>
              </w:rPr>
              <w:t>四</w:t>
            </w:r>
            <w:r>
              <w:rPr>
                <w:rFonts w:ascii="仿宋_GB2312" w:hAnsi="仿宋_GB2312" w:cs="仿宋_GB2312" w:eastAsia="仿宋_GB2312"/>
                <w:sz w:val="18"/>
                <w:color w:val="000000"/>
              </w:rPr>
              <w:t>.工期</w:t>
            </w:r>
          </w:p>
          <w:p>
            <w:pPr>
              <w:pStyle w:val="null3"/>
              <w:jc w:val="left"/>
            </w:pPr>
            <w:r>
              <w:rPr>
                <w:rFonts w:ascii="仿宋_GB2312" w:hAnsi="仿宋_GB2312" w:cs="仿宋_GB2312" w:eastAsia="仿宋_GB2312"/>
                <w:sz w:val="18"/>
                <w:color w:val="000000"/>
              </w:rPr>
              <w:t>自进场之日起</w:t>
            </w:r>
            <w:r>
              <w:rPr>
                <w:rFonts w:ascii="仿宋_GB2312" w:hAnsi="仿宋_GB2312" w:cs="仿宋_GB2312" w:eastAsia="仿宋_GB2312"/>
                <w:sz w:val="18"/>
                <w:color w:val="000000"/>
              </w:rPr>
              <w:t>30个日历日内竣工。</w:t>
            </w:r>
          </w:p>
          <w:p>
            <w:pPr>
              <w:pStyle w:val="null3"/>
              <w:spacing w:before="105" w:after="105"/>
              <w:jc w:val="left"/>
            </w:pPr>
            <w:r>
              <w:rPr>
                <w:rFonts w:ascii="仿宋_GB2312" w:hAnsi="仿宋_GB2312" w:cs="仿宋_GB2312" w:eastAsia="仿宋_GB2312"/>
                <w:sz w:val="18"/>
                <w:color w:val="000000"/>
              </w:rPr>
              <w:t>五</w:t>
            </w:r>
            <w:r>
              <w:rPr>
                <w:rFonts w:ascii="仿宋_GB2312" w:hAnsi="仿宋_GB2312" w:cs="仿宋_GB2312" w:eastAsia="仿宋_GB2312"/>
                <w:sz w:val="18"/>
                <w:color w:val="000000"/>
              </w:rPr>
              <w:t>.合同支付方式</w:t>
            </w:r>
          </w:p>
          <w:p>
            <w:pPr>
              <w:pStyle w:val="null3"/>
              <w:jc w:val="left"/>
            </w:pPr>
            <w:r>
              <w:rPr>
                <w:rFonts w:ascii="仿宋_GB2312" w:hAnsi="仿宋_GB2312" w:cs="仿宋_GB2312" w:eastAsia="仿宋_GB2312"/>
                <w:sz w:val="18"/>
                <w:color w:val="000000"/>
              </w:rPr>
              <w:t>1.合同签订后 ，达到付款条件起 10 日内，支付合同总金额的 50.00%；</w:t>
            </w:r>
          </w:p>
          <w:p>
            <w:pPr>
              <w:pStyle w:val="null3"/>
              <w:jc w:val="left"/>
            </w:pPr>
            <w:r>
              <w:rPr>
                <w:rFonts w:ascii="仿宋_GB2312" w:hAnsi="仿宋_GB2312" w:cs="仿宋_GB2312" w:eastAsia="仿宋_GB2312"/>
                <w:sz w:val="18"/>
                <w:color w:val="000000"/>
              </w:rPr>
              <w:t>2.第二次付款待工程</w:t>
            </w:r>
            <w:r>
              <w:rPr>
                <w:rFonts w:ascii="仿宋_GB2312" w:hAnsi="仿宋_GB2312" w:cs="仿宋_GB2312" w:eastAsia="仿宋_GB2312"/>
                <w:sz w:val="18"/>
                <w:color w:val="000000"/>
              </w:rPr>
              <w:t>结算审计完成后付工程款</w:t>
            </w:r>
            <w:r>
              <w:rPr>
                <w:rFonts w:ascii="仿宋_GB2312" w:hAnsi="仿宋_GB2312" w:cs="仿宋_GB2312" w:eastAsia="仿宋_GB2312"/>
                <w:sz w:val="18"/>
                <w:color w:val="000000"/>
              </w:rPr>
              <w:t>，达到付款条件起</w:t>
            </w:r>
            <w:r>
              <w:rPr>
                <w:rFonts w:ascii="仿宋_GB2312" w:hAnsi="仿宋_GB2312" w:cs="仿宋_GB2312" w:eastAsia="仿宋_GB2312"/>
                <w:sz w:val="18"/>
                <w:color w:val="000000"/>
              </w:rPr>
              <w:t>10 日内，支付合同总金额的50.00%。</w:t>
            </w:r>
          </w:p>
          <w:p>
            <w:pPr>
              <w:pStyle w:val="null3"/>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 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法定代表人或其授权代理人</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供应商应授权合法的人员参加投标全过程，其中法定代表人直接参加投标的，须出具本人身份证， 并于营业执照上信息一致。法定代表人授权代表参加投标的，须出具法定代表人授权书及授权代表身份证。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法定代表人证明书或授权委托书.docx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供应商须具备建设行政主管部门颁发的消防设施工程专业承包二级（含）以上资质，且具备有效的安全生产许可证，并在人员、设备、资金等方面具备相应施工能力且无不良记录。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拟派项目经理资格和专业要求</w:t>
            </w:r>
          </w:p>
        </w:tc>
        <w:tc>
          <w:tcPr>
            <w:tcW w:type="dxa" w:w="3322"/>
          </w:tcPr>
          <w:p>
            <w:pPr>
              <w:pStyle w:val="null3"/>
            </w:pPr>
            <w:r>
              <w:rPr>
                <w:rFonts w:ascii="仿宋_GB2312" w:hAnsi="仿宋_GB2312" w:cs="仿宋_GB2312" w:eastAsia="仿宋_GB2312"/>
              </w:rPr>
              <w:t>拟派项目经理具备机电工程专业二级（或以上）注册建造师执业资格和有效的安全生产考核合格证书（建安B证），且未担任其他在施建设工程项目的项目经理（提供无在建承诺函）；</w:t>
            </w:r>
          </w:p>
        </w:tc>
        <w:tc>
          <w:tcPr>
            <w:tcW w:type="dxa" w:w="1661"/>
          </w:tcPr>
          <w:p>
            <w:pPr>
              <w:pStyle w:val="null3"/>
            </w:pPr>
            <w:r>
              <w:rPr>
                <w:rFonts w:ascii="仿宋_GB2312" w:hAnsi="仿宋_GB2312" w:cs="仿宋_GB2312" w:eastAsia="仿宋_GB2312"/>
              </w:rPr>
              <w:t>项目经理.docx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企业信誉.docx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①税收缴纳证明：提供供应商自磋商前一年内至少一个月已缴纳的增值税或营业税或企业所得税的凭据或税务机关开具的完税证明；依法免税的应提供相关文件证明; ②社会保障资金缴纳证明：提供供应商自磋商前一年内已缴纳的至少一个月的社会保障资金缴存单据或社保机构开具的社会保险参保缴费情况证明，依法不需要缴纳社会保障资金的单位应提供相关证明材料； ③具有履行合同所必需的设备和专业技术能力的承诺； ④提供参加本次政府采购活动前三年内在经营活动中没有重大违法记录的书面声明。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供应商提交的相关证明材料.docx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是否符合法律、法规和磋商文件规定，无其他无效投标情形的。</w:t>
            </w:r>
          </w:p>
        </w:tc>
        <w:tc>
          <w:tcPr>
            <w:tcW w:type="dxa" w:w="1661"/>
          </w:tcPr>
          <w:p>
            <w:pPr>
              <w:pStyle w:val="null3"/>
            </w:pPr>
            <w:r>
              <w:rPr>
                <w:rFonts w:ascii="仿宋_GB2312" w:hAnsi="仿宋_GB2312" w:cs="仿宋_GB2312" w:eastAsia="仿宋_GB2312"/>
              </w:rPr>
              <w:t>响应文件封面 联合体.docx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施工方案非常详细、完整，可行、有针对性，有利于项目实施的得(4-6]分； 施工方案比较详细完整、可行，较利于项目实施的得(2-4]分；施工方案基本可行，基本满足项目实施需要的得(0-2]分。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施工质量保证措施完备齐全、合理、切实可行，得(4-6]分。 施工质量保证措施完备齐全、合理、基本可行，得(2-4]分。 施工进度计划及措施基本完备齐全、合理性、可行性较差，得(0-2]分。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施工安全保证措施完备齐全、合理、切实可行，得(4-6]分。 施工安全保证措施完备齐全、合理、基本可行，得(2-4]分。 施工安全保证措施基本完备齐全、合理性、可行性较差，得(0-2]分。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项目实施协调方案</w:t>
            </w:r>
          </w:p>
        </w:tc>
        <w:tc>
          <w:tcPr>
            <w:tcW w:type="dxa" w:w="2492"/>
          </w:tcPr>
          <w:p>
            <w:pPr>
              <w:pStyle w:val="null3"/>
            </w:pPr>
            <w:r>
              <w:rPr>
                <w:rFonts w:ascii="仿宋_GB2312" w:hAnsi="仿宋_GB2312" w:cs="仿宋_GB2312" w:eastAsia="仿宋_GB2312"/>
              </w:rPr>
              <w:t>项目实施协调方案非常详细、完整，可行、有针对性，有利于项目实施的得(4-6]分；项目实施协调方案比较详细完整、可行，较利于项目实施的得(2-4]分；项目实施协调方案基本可行，基本满足项目实施需要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文明施工措施及环境保护措施完备齐全、合理、切实可行，得(4-6]分。 文明施工措施及环境保护措施完备齐全、合理、基本可行，得(2-4]分。 文明施工措施及环境保护措施基本完备齐全、合理性、可行性较差，得(0-2]分。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 机构设置合理，人员配备齐全，技术经验丰富，得(4-6]分； 机构设置合理，人员配备、技术经验一般，得(2-4]分； 机构设置、人员配备、技术经验较差，得(0-2]分。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施工机械配备合理和材料环保性较好，得(4-6]分； 施工机械配备和材料投入计划基本合理、可行，得(2-4]分；施工机械配备和材料投入计划较差，得(0-2]分。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施工总进度计划及工期保证措施</w:t>
            </w:r>
          </w:p>
        </w:tc>
        <w:tc>
          <w:tcPr>
            <w:tcW w:type="dxa" w:w="2492"/>
          </w:tcPr>
          <w:p>
            <w:pPr>
              <w:pStyle w:val="null3"/>
            </w:pPr>
            <w:r>
              <w:rPr>
                <w:rFonts w:ascii="仿宋_GB2312" w:hAnsi="仿宋_GB2312" w:cs="仿宋_GB2312" w:eastAsia="仿宋_GB2312"/>
              </w:rPr>
              <w:t>针对本项目提供的施工进度计划及工期保证措施进行综合评审。 施工进度计划及工期保证措施完备齐全、合理、切实可行，得(4-6]分。 施工进度计划及工期保证措施完备齐全、合理、基本可行，得(2-4]分。 施工进度计划及措施基本完备齐全、合理性、可行性较差，得(0-2]分。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w:t>
            </w:r>
          </w:p>
        </w:tc>
        <w:tc>
          <w:tcPr>
            <w:tcW w:type="dxa" w:w="2492"/>
          </w:tcPr>
          <w:p>
            <w:pPr>
              <w:pStyle w:val="null3"/>
            </w:pPr>
            <w:r>
              <w:rPr>
                <w:rFonts w:ascii="仿宋_GB2312" w:hAnsi="仿宋_GB2312" w:cs="仿宋_GB2312" w:eastAsia="仿宋_GB2312"/>
              </w:rPr>
              <w:t>供应商就本项目劳动力安排计划，根据合理、可行程度进行评审。 劳动力安排计划合理、可行，得(4-6]分。 劳动力安排计划基本可行，得(2-4]分。 劳动力安排计划可行性较差，得(0-2]分。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供应商针对突发事件应急保障措施及迎检方案的可行性（包含恶劣天气影响、自然灾害及政府性重大活动，重大节假日等特殊情况制定应急处置方案等） 应急保证措施完备齐全、合理、切实可行，得(4-6]分。 应急保证措施完备齐全、合理、基本可行，得(2-4]分。 施工安全保证措施基本完备齐全、合理性、可行性较差，得(0-2]分。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施工环保措施及治污减霾保证措施</w:t>
            </w:r>
          </w:p>
        </w:tc>
        <w:tc>
          <w:tcPr>
            <w:tcW w:type="dxa" w:w="2492"/>
          </w:tcPr>
          <w:p>
            <w:pPr>
              <w:pStyle w:val="null3"/>
            </w:pPr>
            <w:r>
              <w:rPr>
                <w:rFonts w:ascii="仿宋_GB2312" w:hAnsi="仿宋_GB2312" w:cs="仿宋_GB2312" w:eastAsia="仿宋_GB2312"/>
              </w:rPr>
              <w:t>措施有针对性、合理、可实施性强得4分； 措施比较合理、针对性和实施性一般得2分；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以来（以合同签订日期为准）类似项目业绩，类似业绩是指消防设施设备提升改造工程内容或包含消防设施设备提升改造工程内容的类似项目业绩证明材料，每提供一项得2分，最高的得6分。注：须提供合同（包含合同首页、关键内容页及签署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详见附件：营业执照.docx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详见附件：企业信誉.docx</w:t>
      </w:r>
    </w:p>
    <w:p>
      <w:pPr>
        <w:pStyle w:val="null3"/>
        <w:ind w:firstLine="960"/>
      </w:pPr>
      <w:r>
        <w:rPr>
          <w:rFonts w:ascii="仿宋_GB2312" w:hAnsi="仿宋_GB2312" w:cs="仿宋_GB2312" w:eastAsia="仿宋_GB2312"/>
        </w:rPr>
        <w:t>详见附件：联合体.docx</w:t>
      </w:r>
    </w:p>
    <w:p>
      <w:pPr>
        <w:pStyle w:val="null3"/>
        <w:ind w:firstLine="960"/>
      </w:pPr>
      <w:r>
        <w:rPr>
          <w:rFonts w:ascii="仿宋_GB2312" w:hAnsi="仿宋_GB2312" w:cs="仿宋_GB2312" w:eastAsia="仿宋_GB2312"/>
        </w:rPr>
        <w:t>详见附件：项目经理.docx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详见附件：法定代表人证明书或授权委托书.docx</w:t>
      </w:r>
    </w:p>
    <w:p>
      <w:pPr>
        <w:pStyle w:val="null3"/>
        <w:ind w:firstLine="960"/>
      </w:pPr>
      <w:r>
        <w:rPr>
          <w:rFonts w:ascii="仿宋_GB2312" w:hAnsi="仿宋_GB2312" w:cs="仿宋_GB2312" w:eastAsia="仿宋_GB2312"/>
        </w:rPr>
        <w:t>详见附件：供应商提交的相关证明材料.docx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