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版本号：TZZB-Z-2025119C20250515001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集约化送达及邮寄服务项目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TZZB-Z-2025119C</w:t>
      </w:r>
      <w:r>
        <w:br/>
      </w:r>
      <w:r>
        <w:br/>
      </w:r>
      <w:r>
        <w:br/>
      </w:r>
    </w:p>
    <w:p>
      <w:pPr>
        <w:pStyle w:val="null3"/>
        <w:jc w:val="center"/>
        <w:outlineLvl w:val="5"/>
      </w:pPr>
      <w:r>
        <w:rPr>
          <w:rFonts w:ascii="仿宋_GB2312" w:hAnsi="仿宋_GB2312" w:cs="仿宋_GB2312" w:eastAsia="仿宋_GB2312"/>
          <w:sz w:val="15"/>
          <w:b/>
        </w:rPr>
        <w:t>陕西西咸新区人民法院</w:t>
      </w:r>
    </w:p>
    <w:p>
      <w:pPr>
        <w:pStyle w:val="null3"/>
        <w:jc w:val="center"/>
        <w:outlineLvl w:val="5"/>
      </w:pPr>
      <w:r>
        <w:rPr>
          <w:rFonts w:ascii="仿宋_GB2312" w:hAnsi="仿宋_GB2312" w:cs="仿宋_GB2312" w:eastAsia="仿宋_GB2312"/>
          <w:sz w:val="15"/>
          <w:b/>
        </w:rPr>
        <w:t>同正项目管理有限公司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陕西西咸新区人民法院</w:t>
      </w:r>
      <w:r>
        <w:rPr>
          <w:rFonts w:ascii="仿宋_GB2312" w:hAnsi="仿宋_GB2312" w:cs="仿宋_GB2312" w:eastAsia="仿宋_GB2312"/>
        </w:rPr>
        <w:t>委托，拟对</w:t>
      </w:r>
      <w:r>
        <w:rPr>
          <w:rFonts w:ascii="仿宋_GB2312" w:hAnsi="仿宋_GB2312" w:cs="仿宋_GB2312" w:eastAsia="仿宋_GB2312"/>
        </w:rPr>
        <w:t>集约化送达及邮寄服务项目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TZZB-Z-2025119C</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集约化送达及邮寄服务项目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集约送达业务范围涵盖民事、行政、国家赔偿和执行案件各类文书的线上线下送达、司法专递、退件等，通过集约送达平台在人民法院与诉讼当事人之间实现安全的信息和数据交互，以不同形式进行案件材料的文书送达工作。集约送达涵盖案件全流程的法律文书送达，按件计费(每个案件全包费用)，约17142件，单件费用为70元/案 。注：据实结算。结算金额不超过预算金额。</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协商全过程：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或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府采购法》第二十二条规定的条件：提供具有履行合同所必需的设备和专业技术能力的书面承诺。提供承诺函，加盖供应商公章。</w:t>
      </w:r>
    </w:p>
    <w:p>
      <w:pPr>
        <w:pStyle w:val="null3"/>
      </w:pPr>
      <w:r>
        <w:rPr>
          <w:rFonts w:ascii="仿宋_GB2312" w:hAnsi="仿宋_GB2312" w:cs="仿宋_GB2312" w:eastAsia="仿宋_GB2312"/>
        </w:rPr>
        <w:t>8、供应商应具备《中华人民共和国政 府采购法》第二十二条规定的条件：提供参加政府采购活动前三年内在经营活动中没有重大违法记录的书面声明。提供书面声明，加盖供应商公章。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陕西西咸新区人民法院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陕西省西咸新区空港新城俊采大街17号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029-32207033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陕西西咸新区人民法院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陕西西咸新区人民法院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集约送达业务范围涵盖民事、行政、国家赔偿和执行案件各类文书的线上线下送达、司法专递、退件等，通过集约送达平台在人民法院与诉讼当事人之间实现安全的信息和数据交互，以不同形式进行案件材料的文书送达工作。集约送达涵盖案件全流程的法律文书送达，按件计费(每个案件全包费用)，约17142件，单件费用为70元/案 。注：据实结算。结算金额不超过预算金额。</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法律文书等电子送达及线下邮寄服务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邮政业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标的名称：法律文书等电子送达及线下邮寄服务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项目背景</w:t>
            </w:r>
          </w:p>
          <w:p>
            <w:pPr>
              <w:pStyle w:val="null3"/>
              <w:ind w:firstLine="480"/>
              <w:jc w:val="both"/>
            </w:pPr>
            <w:r>
              <w:rPr>
                <w:rFonts w:ascii="仿宋_GB2312" w:hAnsi="仿宋_GB2312" w:cs="仿宋_GB2312" w:eastAsia="仿宋_GB2312"/>
                <w:sz w:val="24"/>
              </w:rPr>
              <w:t>根据《中华人民共和国民事诉讼法》《最高人民法院关于适用く中华人民共和国民事诉讼法&gt;的解释》、最高人民法院《关于进一步加强民事送达工作的若千意见》和《陕西省高级人民法院关于电子送达与集中送达的若干规定(试行)》等规定，为进一步优化资源配置增强审判质效，提升便民服务水平，我院将在诉讼服务中心成立集约送达中心，并使用社会化服务，集约送达中心按照法院审判人员指令完成法律文书的全流程送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2）项目内容</w:t>
            </w:r>
          </w:p>
          <w:p>
            <w:pPr>
              <w:pStyle w:val="null3"/>
              <w:ind w:firstLine="480"/>
              <w:jc w:val="both"/>
            </w:pPr>
            <w:r>
              <w:rPr>
                <w:rFonts w:ascii="仿宋_GB2312" w:hAnsi="仿宋_GB2312" w:cs="仿宋_GB2312" w:eastAsia="仿宋_GB2312"/>
                <w:sz w:val="24"/>
              </w:rPr>
              <w:t>集约送达业务范围涵盖民事、行政、国家赔偿和执行案件各类文书的线上线下送达、司法专递、退件等，通过集约送达平台在人民法院与诉讼当事人之间实现安全的信息和数据交互，以不同形式进行案件材料的文书送达工作。集约送达涵盖案件全流程的法律文书送达，按件计费</w:t>
            </w:r>
            <w:r>
              <w:rPr>
                <w:rFonts w:ascii="仿宋_GB2312" w:hAnsi="仿宋_GB2312" w:cs="仿宋_GB2312" w:eastAsia="仿宋_GB2312"/>
                <w:sz w:val="24"/>
              </w:rPr>
              <w:t>(每个案件全包费用)，</w:t>
            </w:r>
            <w:r>
              <w:rPr>
                <w:rFonts w:ascii="仿宋_GB2312" w:hAnsi="仿宋_GB2312" w:cs="仿宋_GB2312" w:eastAsia="仿宋_GB2312"/>
                <w:sz w:val="21"/>
                <w:color w:val="0000FF"/>
              </w:rPr>
              <w:t>约</w:t>
            </w:r>
            <w:r>
              <w:rPr>
                <w:rFonts w:ascii="仿宋_GB2312" w:hAnsi="仿宋_GB2312" w:cs="仿宋_GB2312" w:eastAsia="仿宋_GB2312"/>
                <w:sz w:val="21"/>
                <w:color w:val="0000FF"/>
              </w:rPr>
              <w:t>17142件，</w:t>
            </w:r>
            <w:r>
              <w:rPr>
                <w:rFonts w:ascii="仿宋_GB2312" w:hAnsi="仿宋_GB2312" w:cs="仿宋_GB2312" w:eastAsia="仿宋_GB2312"/>
                <w:sz w:val="21"/>
                <w:color w:val="0000FF"/>
              </w:rPr>
              <w:t>单件</w:t>
            </w:r>
            <w:r>
              <w:rPr>
                <w:rFonts w:ascii="仿宋_GB2312" w:hAnsi="仿宋_GB2312" w:cs="仿宋_GB2312" w:eastAsia="仿宋_GB2312"/>
                <w:sz w:val="21"/>
                <w:color w:val="0000FF"/>
              </w:rPr>
              <w:t>费用为</w:t>
            </w:r>
            <w:r>
              <w:rPr>
                <w:rFonts w:ascii="仿宋_GB2312" w:hAnsi="仿宋_GB2312" w:cs="仿宋_GB2312" w:eastAsia="仿宋_GB2312"/>
                <w:sz w:val="21"/>
                <w:color w:val="0000FF"/>
              </w:rPr>
              <w:t>70元/案 。</w:t>
            </w:r>
            <w:r>
              <w:rPr>
                <w:rFonts w:ascii="仿宋_GB2312" w:hAnsi="仿宋_GB2312" w:cs="仿宋_GB2312" w:eastAsia="仿宋_GB2312"/>
                <w:sz w:val="21"/>
                <w:color w:val="0000FF"/>
              </w:rPr>
              <w:t>注：据实结算。结算金额不超过预算金额</w:t>
            </w:r>
            <w:r>
              <w:rPr>
                <w:rFonts w:ascii="仿宋_GB2312" w:hAnsi="仿宋_GB2312" w:cs="仿宋_GB2312" w:eastAsia="仿宋_GB2312"/>
                <w:sz w:val="21"/>
                <w:color w:val="0000FF"/>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3）项目要求</w:t>
            </w:r>
          </w:p>
          <w:p>
            <w:pPr>
              <w:pStyle w:val="null3"/>
              <w:ind w:firstLine="480"/>
              <w:jc w:val="both"/>
            </w:pPr>
            <w:r>
              <w:rPr>
                <w:rFonts w:ascii="仿宋_GB2312" w:hAnsi="仿宋_GB2312" w:cs="仿宋_GB2312" w:eastAsia="仿宋_GB2312"/>
                <w:sz w:val="24"/>
              </w:rPr>
              <w:t>1.送达审核。集约送达中心在接收到送达任务后要认真审核，重点关注送达环节及备注情况，合理分配线上、线下送达，不符合要求及时退回并说明理由。</w:t>
            </w:r>
          </w:p>
          <w:p>
            <w:pPr>
              <w:pStyle w:val="null3"/>
              <w:ind w:firstLine="480"/>
              <w:jc w:val="both"/>
            </w:pPr>
            <w:r>
              <w:rPr>
                <w:rFonts w:ascii="仿宋_GB2312" w:hAnsi="仿宋_GB2312" w:cs="仿宋_GB2312" w:eastAsia="仿宋_GB2312"/>
                <w:sz w:val="24"/>
              </w:rPr>
              <w:t>2.电子送达。按照《陕西省高级人民法院关于电子送达与集中送达的若干规定（试行）》进行电子送达。使用送达平台送达文书和诉讼活动总量应符合人民法院诉讼服务质效评估体系指标要求。</w:t>
            </w:r>
          </w:p>
          <w:p>
            <w:pPr>
              <w:pStyle w:val="null3"/>
              <w:ind w:firstLine="480"/>
              <w:jc w:val="both"/>
            </w:pPr>
            <w:r>
              <w:rPr>
                <w:rFonts w:ascii="仿宋_GB2312" w:hAnsi="仿宋_GB2312" w:cs="仿宋_GB2312" w:eastAsia="仿宋_GB2312"/>
                <w:sz w:val="24"/>
              </w:rPr>
              <w:t>3.来院领取。根据电话联系情况，如受送达人同意来院领取，集约送达中心以派发工单的形式，将需送达诉讼文书打印后送至诉讼服务大厅材料收转窗口，并告知受送达人7日内凭相关证明材料到人民法院窗口领取。</w:t>
            </w:r>
          </w:p>
          <w:p>
            <w:pPr>
              <w:pStyle w:val="null3"/>
              <w:ind w:firstLine="480"/>
              <w:jc w:val="both"/>
            </w:pPr>
            <w:r>
              <w:rPr>
                <w:rFonts w:ascii="仿宋_GB2312" w:hAnsi="仿宋_GB2312" w:cs="仿宋_GB2312" w:eastAsia="仿宋_GB2312"/>
                <w:sz w:val="24"/>
              </w:rPr>
              <w:t>4.邮寄送达和邮政集约送达。集约送达中心在受送达人或者法官、书记员不同意采用电子送达的情况下，方可采用邮寄送达，邮寄送达需采用邮政法院专递，并采用“五日三投”（五日内投放三次，至少有一次为晚上18时之后或周六、日）方式送达。邮寄送达首选邮政集约送达，即异地打印、同城送达。</w:t>
            </w:r>
          </w:p>
          <w:p>
            <w:pPr>
              <w:pStyle w:val="null3"/>
              <w:ind w:firstLine="480"/>
              <w:jc w:val="both"/>
            </w:pPr>
            <w:r>
              <w:rPr>
                <w:rFonts w:ascii="仿宋_GB2312" w:hAnsi="仿宋_GB2312" w:cs="仿宋_GB2312" w:eastAsia="仿宋_GB2312"/>
                <w:sz w:val="24"/>
              </w:rPr>
              <w:t>5.外出送达辅助。送达平台有外出送达助手，可以支持外出送达结果录入送达报告书。所有转为外出送达的工单，可以由外出人员在小程序上进行领取，同时审核人员可以一键打印需外出送达的文书交由外出人员外出上门送达。外出送达人员可以直接在小程序上上传外出送达所拍摄的照片材料，照片可以直接通过小助手同步至送达报告书内，书记员下载送达报告书即可查看外出送达的相关照片及材料。</w:t>
            </w:r>
          </w:p>
          <w:p>
            <w:pPr>
              <w:pStyle w:val="null3"/>
              <w:ind w:firstLine="480"/>
              <w:jc w:val="both"/>
            </w:pPr>
            <w:r>
              <w:rPr>
                <w:rFonts w:ascii="仿宋_GB2312" w:hAnsi="仿宋_GB2312" w:cs="仿宋_GB2312" w:eastAsia="仿宋_GB2312"/>
                <w:sz w:val="24"/>
              </w:rPr>
              <w:t>6.数据整理。做好集约送达中心各项数据汇总、统计、分析，定期通报集约送达平台运行情况。</w:t>
            </w:r>
          </w:p>
          <w:p>
            <w:pPr>
              <w:pStyle w:val="null3"/>
              <w:ind w:firstLine="480"/>
              <w:jc w:val="both"/>
            </w:pPr>
            <w:r>
              <w:rPr>
                <w:rFonts w:ascii="仿宋_GB2312" w:hAnsi="仿宋_GB2312" w:cs="仿宋_GB2312" w:eastAsia="仿宋_GB2312"/>
                <w:sz w:val="24"/>
              </w:rPr>
              <w:t>7.其他事项。服从采购方管理，积极主动承办采购方交办的其他工作。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4）验收标准</w:t>
            </w:r>
          </w:p>
          <w:p>
            <w:pPr>
              <w:pStyle w:val="null3"/>
              <w:ind w:firstLine="480"/>
              <w:jc w:val="both"/>
            </w:pPr>
            <w:r>
              <w:rPr>
                <w:rFonts w:ascii="仿宋_GB2312" w:hAnsi="仿宋_GB2312" w:cs="仿宋_GB2312" w:eastAsia="仿宋_GB2312"/>
                <w:sz w:val="24"/>
              </w:rPr>
              <w:t>1.使用送达平台送达文书和诉讼活动通知的总量与受理案件总量比不低于200%，每一次送达任务中每个受送达人的文书数量都计算在内。</w:t>
            </w:r>
          </w:p>
          <w:p>
            <w:pPr>
              <w:pStyle w:val="null3"/>
              <w:ind w:firstLine="480"/>
              <w:jc w:val="both"/>
            </w:pPr>
            <w:r>
              <w:rPr>
                <w:rFonts w:ascii="仿宋_GB2312" w:hAnsi="仿宋_GB2312" w:cs="仿宋_GB2312" w:eastAsia="仿宋_GB2312"/>
                <w:sz w:val="24"/>
              </w:rPr>
              <w:t>2.使用邮政集约送达的案件数量与邮寄送达案件数量比不低于80%。</w:t>
            </w:r>
          </w:p>
          <w:p>
            <w:pPr>
              <w:pStyle w:val="null3"/>
              <w:ind w:firstLine="480"/>
              <w:jc w:val="both"/>
            </w:pPr>
            <w:r>
              <w:rPr>
                <w:rFonts w:ascii="仿宋_GB2312" w:hAnsi="仿宋_GB2312" w:cs="仿宋_GB2312" w:eastAsia="仿宋_GB2312"/>
                <w:sz w:val="24"/>
              </w:rPr>
              <w:t>3.电子送达成功率。电子送达成功率（符合线上送达任务）每月不低于70%，每低于1个点扣减当月服务费用2元/案件。</w:t>
            </w:r>
          </w:p>
          <w:p>
            <w:pPr>
              <w:pStyle w:val="null3"/>
              <w:ind w:firstLine="480"/>
              <w:jc w:val="both"/>
            </w:pPr>
            <w:r>
              <w:rPr>
                <w:rFonts w:ascii="仿宋_GB2312" w:hAnsi="仿宋_GB2312" w:cs="仿宋_GB2312" w:eastAsia="仿宋_GB2312"/>
                <w:sz w:val="24"/>
              </w:rPr>
              <w:t>4.邮寄妥投率。在提供的收件人姓名、电话、地址准确的情况下，邮件妥投率达100%。如发生采购人提供的收件人姓名、电话、地址准确的情况下，未能妥投经核实后，扣减100元/次。</w:t>
            </w:r>
          </w:p>
          <w:p>
            <w:pPr>
              <w:pStyle w:val="null3"/>
              <w:ind w:firstLine="480"/>
              <w:jc w:val="both"/>
            </w:pPr>
            <w:r>
              <w:rPr>
                <w:rFonts w:ascii="仿宋_GB2312" w:hAnsi="仿宋_GB2312" w:cs="仿宋_GB2312" w:eastAsia="仿宋_GB2312"/>
                <w:sz w:val="24"/>
              </w:rPr>
              <w:t>5.开展集约送达后，供应商应确保民事、行政、国家赔偿和执行案件各类文书通过集约送达平台（特殊情况须经采购方允许方可）流转，严禁出现未经集约送达平台直接邮寄（导致双向收费）。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5）保密要求</w:t>
            </w:r>
          </w:p>
          <w:p>
            <w:pPr>
              <w:pStyle w:val="null3"/>
              <w:ind w:firstLine="480"/>
              <w:jc w:val="both"/>
            </w:pPr>
            <w:r>
              <w:rPr>
                <w:rFonts w:ascii="仿宋_GB2312" w:hAnsi="仿宋_GB2312" w:cs="仿宋_GB2312" w:eastAsia="仿宋_GB2312"/>
                <w:sz w:val="24"/>
              </w:rPr>
              <w:t>集约送达员应遵守法院相关保密规定，对于工作中知悉、接触的案件信息和送达材料，应当保守秘密。未经许可，不得私自接触、获取工作范围外的数据信息，不得擅自拍摄、复制、记录、摘抄法院相关数据资料。不透露、不议论评价当事人或公众来电信息，不得随意泄露办案人员个人基本信息，不从事与工作无关的其他活动。</w:t>
            </w:r>
          </w:p>
          <w:p>
            <w:pPr>
              <w:pStyle w:val="null3"/>
              <w:ind w:firstLine="480"/>
              <w:jc w:val="both"/>
            </w:pPr>
            <w:r>
              <w:rPr>
                <w:rFonts w:ascii="仿宋_GB2312" w:hAnsi="仿宋_GB2312" w:cs="仿宋_GB2312" w:eastAsia="仿宋_GB2312"/>
                <w:sz w:val="24"/>
              </w:rPr>
              <w:t>供应商对集约送达工作人员工作中因供应商一方涉及的安全保密问题承担责任。</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6）技术要求</w:t>
            </w:r>
          </w:p>
          <w:p>
            <w:pPr>
              <w:pStyle w:val="null3"/>
              <w:ind w:firstLine="482"/>
              <w:jc w:val="both"/>
            </w:pPr>
            <w:r>
              <w:rPr>
                <w:rFonts w:ascii="仿宋_GB2312" w:hAnsi="仿宋_GB2312" w:cs="仿宋_GB2312" w:eastAsia="仿宋_GB2312"/>
                <w:sz w:val="24"/>
                <w:b/>
              </w:rPr>
              <w:t>1.计算机、送达平台等软硬件保障。</w:t>
            </w:r>
            <w:r>
              <w:rPr>
                <w:rFonts w:ascii="仿宋_GB2312" w:hAnsi="仿宋_GB2312" w:cs="仿宋_GB2312" w:eastAsia="仿宋_GB2312"/>
                <w:sz w:val="24"/>
              </w:rPr>
              <w:t>服务提供商需按照送达业务量配置包括但不限于计算机终端、票据打印机、高拍仪、扫描仪、条码枪、程控电话录音平台、送达平台软件等软硬件设备，完全满足最高法院和</w:t>
            </w:r>
            <w:r>
              <w:rPr>
                <w:rFonts w:ascii="仿宋_GB2312" w:hAnsi="仿宋_GB2312" w:cs="仿宋_GB2312" w:eastAsia="仿宋_GB2312"/>
                <w:sz w:val="24"/>
              </w:rPr>
              <w:t>中级法院</w:t>
            </w:r>
            <w:r>
              <w:rPr>
                <w:rFonts w:ascii="仿宋_GB2312" w:hAnsi="仿宋_GB2312" w:cs="仿宋_GB2312" w:eastAsia="仿宋_GB2312"/>
                <w:sz w:val="24"/>
              </w:rPr>
              <w:t>对集约送达的要求；与审判、执行等系统进行对接，获取案件相关送达信息，实现案件和当事人信息数据共享互通；电话通知后自动获取通话信息及录音，通话信息及录音直接入卷，实现内网存储；接入法院内网用以接收法院送达信息的计算机应做到专机专用，不得与其他网系混用，出现故障送修前，需拆卸硬盘。</w:t>
            </w:r>
          </w:p>
          <w:p>
            <w:pPr>
              <w:pStyle w:val="null3"/>
              <w:ind w:firstLine="482"/>
              <w:jc w:val="both"/>
            </w:pPr>
            <w:r>
              <w:rPr>
                <w:rFonts w:ascii="仿宋_GB2312" w:hAnsi="仿宋_GB2312" w:cs="仿宋_GB2312" w:eastAsia="仿宋_GB2312"/>
                <w:sz w:val="24"/>
                <w:b/>
              </w:rPr>
              <w:t>2.受送达人地址电话查询。</w:t>
            </w:r>
            <w:r>
              <w:rPr>
                <w:rFonts w:ascii="仿宋_GB2312" w:hAnsi="仿宋_GB2312" w:cs="仿宋_GB2312" w:eastAsia="仿宋_GB2312"/>
                <w:sz w:val="24"/>
              </w:rPr>
              <w:t>对于未提供受送达当事人联系方式和通讯地址的，服务提供商应综合运用各种合法途径查询有关信息，包括但不限于服务提供商自身掌握的地址库数据、与三大运营商对接获取的数据等，并建立送达成功地址库。</w:t>
            </w:r>
          </w:p>
          <w:p>
            <w:pPr>
              <w:pStyle w:val="null3"/>
              <w:ind w:firstLine="482"/>
              <w:jc w:val="both"/>
            </w:pPr>
            <w:r>
              <w:rPr>
                <w:rFonts w:ascii="仿宋_GB2312" w:hAnsi="仿宋_GB2312" w:cs="仿宋_GB2312" w:eastAsia="仿宋_GB2312"/>
                <w:sz w:val="24"/>
                <w:b/>
              </w:rPr>
              <w:t>3.集中送达配套保障。</w:t>
            </w:r>
            <w:r>
              <w:rPr>
                <w:rFonts w:ascii="仿宋_GB2312" w:hAnsi="仿宋_GB2312" w:cs="仿宋_GB2312" w:eastAsia="仿宋_GB2312"/>
                <w:sz w:val="24"/>
              </w:rPr>
              <w:t>因开展送达业务产生的计算机、打印一体机、专用设备、打印纸张和耗材、电话（含来电显示）等费用由服务提供商承担。</w:t>
            </w:r>
          </w:p>
          <w:p>
            <w:pPr>
              <w:pStyle w:val="null3"/>
              <w:jc w:val="both"/>
            </w:pPr>
            <w:r>
              <w:rPr>
                <w:rFonts w:ascii="仿宋_GB2312" w:hAnsi="仿宋_GB2312" w:cs="仿宋_GB2312" w:eastAsia="仿宋_GB2312"/>
                <w:sz w:val="24"/>
                <w:b/>
              </w:rPr>
              <w:t xml:space="preserve">   4.信息安全保障。</w:t>
            </w:r>
            <w:r>
              <w:rPr>
                <w:rFonts w:ascii="仿宋_GB2312" w:hAnsi="仿宋_GB2312" w:cs="仿宋_GB2312" w:eastAsia="仿宋_GB2312"/>
                <w:sz w:val="24"/>
              </w:rPr>
              <w:t>集中送达中心工作场地接入</w:t>
            </w:r>
            <w:r>
              <w:rPr>
                <w:rFonts w:ascii="仿宋_GB2312" w:hAnsi="仿宋_GB2312" w:cs="仿宋_GB2312" w:eastAsia="仿宋_GB2312"/>
                <w:sz w:val="24"/>
              </w:rPr>
              <w:t>法院</w:t>
            </w:r>
            <w:r>
              <w:rPr>
                <w:rFonts w:ascii="仿宋_GB2312" w:hAnsi="仿宋_GB2312" w:cs="仿宋_GB2312" w:eastAsia="仿宋_GB2312"/>
                <w:sz w:val="24"/>
              </w:rPr>
              <w:t>内网，需落实严格的网络信息安全防护措施，禁止使用</w:t>
            </w:r>
            <w:r>
              <w:rPr>
                <w:rFonts w:ascii="仿宋_GB2312" w:hAnsi="仿宋_GB2312" w:cs="仿宋_GB2312" w:eastAsia="仿宋_GB2312"/>
                <w:sz w:val="24"/>
              </w:rPr>
              <w:t>U盘、光盘等存储媒介在不同网系之间拷贝数据，禁止使用照相器材拍摄办公计算机屏幕信息，服务提供商落实定期巡检制度。</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自合同签订之日起至本次所有服务工作完成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1.使用送达平台送达文书和诉讼活动通知的总量与受理案件总量比不低于200%，每一次送达任务中每个受送达人的文书数量都计算在内。 2.使用邮政集约送达的案件数量与邮寄送达案件数量比不低于80%。 3.电子送达成功率。电子送达成功率（符合线上送达任务）每月不低于70%，每低于1个点扣减当月服务费用2元/案件。 4.邮寄妥投率。在提供的收件人姓名、电话、地址准确的情况下，邮件妥投率达100%。如发生采购人提供的收件人姓名、电话、地址准确的情况下，未能妥投经核实后，扣减100元/次。 5.开展集约送达后，供应商应确保民事、行政、国家赔偿和执行案件各类文书通过集约送达平台（特殊情况须经采购方允许方可）流转，严禁出现未经集约送达平台直接邮寄（导致双向收费）。</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按照单一来源采购文件及合同约定要求。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3.如单一来源采购文件中融资相关内容与新政策要求有出入，按照最新要求执行。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供应商应授权合法的人员参加协商全过程</w:t>
            </w:r>
          </w:p>
        </w:tc>
        <w:tc>
          <w:tcPr>
            <w:tcW w:type="dxa" w:w="3322"/>
          </w:tcPr>
          <w:p>
            <w:pPr>
              <w:pStyle w:val="null3"/>
            </w:pPr>
            <w:r>
              <w:rPr>
                <w:rFonts w:ascii="仿宋_GB2312" w:hAnsi="仿宋_GB2312" w:cs="仿宋_GB2312" w:eastAsia="仿宋_GB2312"/>
              </w:rPr>
              <w:t>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提供具有履行合同所必需的设备和专业技术能力的书面承诺。提供承诺函，加盖供应商公章。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2.报价货币符合单一来源采购文件要求； 3.未超出采购预算或单一来源采购文件规定的最高限价。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业绩一览表.docx 服务要求应答表.docx 中小企业声明函 报价表 商务应答表.docx 其他材料及供应商认为有必要说明、阐述的事项.docx 响应文件封面 一般资格要求及特殊资格要求.docx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