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Lines w:val="0"/>
        <w:pageBreakBefore w:val="0"/>
        <w:widowControl w:val="0"/>
        <w:numPr>
          <w:ilvl w:val="0"/>
          <w:numId w:val="0"/>
        </w:numPr>
        <w:kinsoku/>
        <w:wordWrap/>
        <w:overflowPunct/>
        <w:topLinePunct w:val="0"/>
        <w:autoSpaceDE/>
        <w:autoSpaceDN/>
        <w:bidi w:val="0"/>
        <w:adjustRightInd/>
        <w:spacing w:line="360" w:lineRule="auto"/>
        <w:ind w:firstLine="482" w:firstLineChars="200"/>
        <w:jc w:val="center"/>
        <w:textAlignment w:val="auto"/>
        <w:rPr>
          <w:rFonts w:hint="eastAsia" w:ascii="宋体" w:hAnsi="宋体" w:eastAsia="宋体" w:cs="宋体"/>
          <w:bCs/>
          <w:sz w:val="24"/>
          <w:szCs w:val="24"/>
          <w:highlight w:val="none"/>
        </w:rPr>
      </w:pPr>
      <w:bookmarkStart w:id="0" w:name="_Toc18545"/>
      <w:bookmarkStart w:id="1" w:name="_Toc31673"/>
      <w:bookmarkStart w:id="19" w:name="_GoBack"/>
    </w:p>
    <w:p>
      <w:pPr>
        <w:pStyle w:val="3"/>
        <w:keepLines w:val="0"/>
        <w:pageBreakBefore w:val="0"/>
        <w:widowControl w:val="0"/>
        <w:numPr>
          <w:ilvl w:val="0"/>
          <w:numId w:val="0"/>
        </w:numPr>
        <w:kinsoku/>
        <w:wordWrap/>
        <w:overflowPunct/>
        <w:topLinePunct w:val="0"/>
        <w:autoSpaceDE/>
        <w:autoSpaceDN/>
        <w:bidi w:val="0"/>
        <w:adjustRightInd/>
        <w:spacing w:line="360" w:lineRule="auto"/>
        <w:ind w:firstLine="482" w:firstLineChars="200"/>
        <w:jc w:val="center"/>
        <w:textAlignment w:val="auto"/>
        <w:rPr>
          <w:rFonts w:hint="eastAsia" w:ascii="宋体" w:hAnsi="宋体" w:eastAsia="宋体" w:cs="宋体"/>
          <w:bCs/>
          <w:sz w:val="24"/>
          <w:szCs w:val="24"/>
          <w:highlight w:val="none"/>
        </w:rPr>
      </w:pPr>
    </w:p>
    <w:p>
      <w:pPr>
        <w:pStyle w:val="3"/>
        <w:keepLines w:val="0"/>
        <w:pageBreakBefore w:val="0"/>
        <w:widowControl w:val="0"/>
        <w:numPr>
          <w:ilvl w:val="0"/>
          <w:numId w:val="0"/>
        </w:numPr>
        <w:kinsoku/>
        <w:wordWrap/>
        <w:overflowPunct/>
        <w:topLinePunct w:val="0"/>
        <w:autoSpaceDE/>
        <w:autoSpaceDN/>
        <w:bidi w:val="0"/>
        <w:adjustRightInd/>
        <w:spacing w:line="360" w:lineRule="auto"/>
        <w:ind w:firstLine="482" w:firstLineChars="200"/>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合同条款及格式</w:t>
      </w:r>
      <w:bookmarkEnd w:id="0"/>
      <w:bookmarkEnd w:id="1"/>
    </w:p>
    <w:p>
      <w:pPr>
        <w:keepLines w:val="0"/>
        <w:pageBreakBefore w:val="0"/>
        <w:widowControl w:val="0"/>
        <w:kinsoku/>
        <w:wordWrap/>
        <w:overflowPunct/>
        <w:topLinePunct w:val="0"/>
        <w:autoSpaceDE/>
        <w:autoSpaceDN/>
        <w:bidi w:val="0"/>
        <w:adjustRightInd/>
        <w:spacing w:line="360" w:lineRule="auto"/>
        <w:ind w:firstLine="482" w:firstLineChars="200"/>
        <w:jc w:val="left"/>
        <w:textAlignment w:val="auto"/>
        <w:rPr>
          <w:rFonts w:hint="eastAsia" w:ascii="宋体" w:hAnsi="宋体" w:eastAsia="宋体" w:cs="宋体"/>
          <w:b/>
          <w:sz w:val="24"/>
          <w:szCs w:val="24"/>
          <w:highlight w:val="none"/>
        </w:rPr>
      </w:pPr>
    </w:p>
    <w:p>
      <w:pPr>
        <w:keepLines w:val="0"/>
        <w:pageBreakBefore w:val="0"/>
        <w:widowControl w:val="0"/>
        <w:kinsoku/>
        <w:wordWrap/>
        <w:overflowPunct/>
        <w:topLinePunct w:val="0"/>
        <w:autoSpaceDE/>
        <w:autoSpaceDN/>
        <w:bidi w:val="0"/>
        <w:adjustRightInd/>
        <w:spacing w:line="360" w:lineRule="auto"/>
        <w:ind w:firstLine="482" w:firstLineChars="200"/>
        <w:jc w:val="center"/>
        <w:textAlignment w:val="auto"/>
        <w:rPr>
          <w:rFonts w:hint="eastAsia" w:ascii="宋体" w:hAnsi="宋体" w:eastAsia="宋体" w:cs="宋体"/>
          <w:b/>
          <w:bCs/>
          <w:sz w:val="24"/>
          <w:szCs w:val="24"/>
          <w:highlight w:val="none"/>
          <w:lang w:val="en-US" w:eastAsia="zh-CN"/>
        </w:rPr>
      </w:pPr>
    </w:p>
    <w:p>
      <w:pPr>
        <w:keepLines w:val="0"/>
        <w:pageBreakBefore w:val="0"/>
        <w:widowControl w:val="0"/>
        <w:kinsoku/>
        <w:wordWrap/>
        <w:overflowPunct/>
        <w:topLinePunct w:val="0"/>
        <w:autoSpaceDE/>
        <w:autoSpaceDN/>
        <w:bidi w:val="0"/>
        <w:adjustRightInd/>
        <w:spacing w:line="360" w:lineRule="auto"/>
        <w:ind w:firstLine="482" w:firstLineChars="200"/>
        <w:jc w:val="center"/>
        <w:textAlignment w:val="auto"/>
        <w:rPr>
          <w:rFonts w:hint="eastAsia" w:ascii="宋体" w:hAnsi="宋体" w:eastAsia="宋体" w:cs="宋体"/>
          <w:b/>
          <w:bCs/>
          <w:sz w:val="24"/>
          <w:szCs w:val="24"/>
          <w:highlight w:val="none"/>
          <w:lang w:val="en-US" w:eastAsia="zh-CN"/>
        </w:rPr>
      </w:pPr>
    </w:p>
    <w:p>
      <w:pPr>
        <w:keepLines w:val="0"/>
        <w:pageBreakBefore w:val="0"/>
        <w:widowControl w:val="0"/>
        <w:kinsoku/>
        <w:wordWrap/>
        <w:overflowPunct/>
        <w:topLinePunct w:val="0"/>
        <w:autoSpaceDE/>
        <w:autoSpaceDN/>
        <w:bidi w:val="0"/>
        <w:adjustRightInd/>
        <w:spacing w:line="360" w:lineRule="auto"/>
        <w:ind w:firstLine="482" w:firstLineChars="200"/>
        <w:jc w:val="center"/>
        <w:textAlignment w:val="auto"/>
        <w:rPr>
          <w:rFonts w:hint="eastAsia" w:ascii="宋体" w:hAnsi="宋体" w:eastAsia="宋体" w:cs="宋体"/>
          <w:b/>
          <w:bCs/>
          <w:sz w:val="24"/>
          <w:szCs w:val="24"/>
          <w:highlight w:val="none"/>
          <w:lang w:val="en-US" w:eastAsia="zh-CN"/>
        </w:rPr>
      </w:pPr>
    </w:p>
    <w:p>
      <w:pPr>
        <w:keepLines w:val="0"/>
        <w:pageBreakBefore w:val="0"/>
        <w:widowControl w:val="0"/>
        <w:kinsoku/>
        <w:wordWrap/>
        <w:overflowPunct/>
        <w:topLinePunct w:val="0"/>
        <w:autoSpaceDE/>
        <w:autoSpaceDN/>
        <w:bidi w:val="0"/>
        <w:adjustRightInd/>
        <w:spacing w:line="360" w:lineRule="auto"/>
        <w:ind w:firstLine="482" w:firstLineChars="200"/>
        <w:jc w:val="center"/>
        <w:textAlignment w:val="auto"/>
        <w:rPr>
          <w:rFonts w:hint="eastAsia" w:ascii="宋体" w:hAnsi="宋体" w:eastAsia="宋体" w:cs="宋体"/>
          <w:b/>
          <w:bCs/>
          <w:sz w:val="24"/>
          <w:szCs w:val="24"/>
          <w:highlight w:val="none"/>
          <w:lang w:eastAsia="zh-CN"/>
        </w:rPr>
      </w:pPr>
    </w:p>
    <w:p>
      <w:pPr>
        <w:keepLines w:val="0"/>
        <w:pageBreakBefore w:val="0"/>
        <w:widowControl w:val="0"/>
        <w:kinsoku/>
        <w:wordWrap/>
        <w:overflowPunct/>
        <w:topLinePunct w:val="0"/>
        <w:autoSpaceDE/>
        <w:autoSpaceDN/>
        <w:bidi w:val="0"/>
        <w:adjustRightInd/>
        <w:spacing w:line="360" w:lineRule="auto"/>
        <w:ind w:firstLine="562" w:firstLineChars="200"/>
        <w:jc w:val="center"/>
        <w:textAlignment w:val="auto"/>
        <w:rPr>
          <w:rFonts w:hint="eastAsia" w:ascii="宋体" w:hAnsi="宋体" w:eastAsia="宋体" w:cs="宋体"/>
          <w:b/>
          <w:bCs/>
          <w:sz w:val="24"/>
          <w:szCs w:val="24"/>
          <w:highlight w:val="none"/>
        </w:rPr>
      </w:pPr>
      <w:bookmarkStart w:id="2" w:name="OLE_LINK1"/>
      <w:bookmarkStart w:id="3" w:name="OLE_LINK2"/>
      <w:r>
        <w:rPr>
          <w:rFonts w:hint="eastAsia" w:ascii="宋体" w:hAnsi="宋体" w:eastAsia="宋体" w:cs="宋体"/>
          <w:b/>
          <w:sz w:val="28"/>
        </w:rPr>
        <w:t>陕西西咸新区人民法院</w:t>
      </w:r>
      <w:bookmarkEnd w:id="2"/>
      <w:r>
        <w:rPr>
          <w:rFonts w:hint="eastAsia" w:ascii="宋体" w:hAnsi="宋体" w:eastAsia="宋体" w:cs="宋体"/>
          <w:b/>
          <w:sz w:val="28"/>
        </w:rPr>
        <w:t>集约化送达及邮寄服务项目</w:t>
      </w:r>
    </w:p>
    <w:bookmarkEnd w:id="3"/>
    <w:p>
      <w:pPr>
        <w:keepLines w:val="0"/>
        <w:pageBreakBefore w:val="0"/>
        <w:widowControl w:val="0"/>
        <w:kinsoku/>
        <w:wordWrap/>
        <w:overflowPunct/>
        <w:topLinePunct w:val="0"/>
        <w:autoSpaceDE/>
        <w:autoSpaceDN/>
        <w:bidi w:val="0"/>
        <w:adjustRightInd/>
        <w:spacing w:line="360" w:lineRule="auto"/>
        <w:ind w:firstLine="482" w:firstLineChars="200"/>
        <w:jc w:val="both"/>
        <w:textAlignment w:val="auto"/>
        <w:rPr>
          <w:rFonts w:hint="eastAsia" w:ascii="宋体" w:hAnsi="宋体" w:eastAsia="宋体" w:cs="宋体"/>
          <w:b/>
          <w:bCs/>
          <w:sz w:val="24"/>
          <w:szCs w:val="24"/>
          <w:highlight w:val="none"/>
          <w:lang w:val="en-US" w:eastAsia="zh-CN"/>
        </w:rPr>
      </w:pPr>
    </w:p>
    <w:p>
      <w:pPr>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p>
    <w:p>
      <w:pPr>
        <w:pStyle w:val="5"/>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p>
    <w:p>
      <w:pPr>
        <w:pStyle w:val="5"/>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sz w:val="24"/>
          <w:szCs w:val="24"/>
          <w:highlight w:val="none"/>
          <w:lang w:val="en-US" w:eastAsia="zh-CN"/>
        </w:rPr>
      </w:pPr>
    </w:p>
    <w:p>
      <w:pPr>
        <w:pStyle w:val="5"/>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sz w:val="24"/>
          <w:szCs w:val="24"/>
          <w:highlight w:val="none"/>
          <w:lang w:val="en-US" w:eastAsia="zh-CN"/>
        </w:rPr>
      </w:pPr>
    </w:p>
    <w:p>
      <w:pPr>
        <w:pStyle w:val="5"/>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sz w:val="24"/>
          <w:szCs w:val="24"/>
          <w:highlight w:val="none"/>
          <w:lang w:val="en-US" w:eastAsia="zh-CN"/>
        </w:rPr>
      </w:pPr>
    </w:p>
    <w:p>
      <w:pPr>
        <w:pStyle w:val="5"/>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sz w:val="24"/>
          <w:szCs w:val="24"/>
          <w:highlight w:val="none"/>
          <w:lang w:val="en-US" w:eastAsia="zh-CN"/>
        </w:rPr>
      </w:pPr>
    </w:p>
    <w:p>
      <w:pPr>
        <w:pStyle w:val="5"/>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sz w:val="24"/>
          <w:szCs w:val="24"/>
          <w:highlight w:val="none"/>
          <w:lang w:val="en-US" w:eastAsia="zh-CN"/>
        </w:rPr>
      </w:pPr>
    </w:p>
    <w:p>
      <w:pPr>
        <w:pStyle w:val="5"/>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sz w:val="24"/>
          <w:szCs w:val="24"/>
          <w:highlight w:val="none"/>
          <w:lang w:val="en-US" w:eastAsia="zh-CN"/>
        </w:rPr>
      </w:pPr>
    </w:p>
    <w:p>
      <w:pPr>
        <w:pStyle w:val="5"/>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p>
    <w:p>
      <w:pPr>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p>
    <w:p>
      <w:pPr>
        <w:keepLines w:val="0"/>
        <w:pageBreakBefore w:val="0"/>
        <w:widowControl w:val="0"/>
        <w:kinsoku/>
        <w:wordWrap/>
        <w:overflowPunct/>
        <w:topLinePunct w:val="0"/>
        <w:autoSpaceDE/>
        <w:autoSpaceDN/>
        <w:bidi w:val="0"/>
        <w:adjustRightInd/>
        <w:snapToGrid w:val="0"/>
        <w:spacing w:line="360" w:lineRule="auto"/>
        <w:ind w:firstLine="482" w:firstLineChars="200"/>
        <w:jc w:val="both"/>
        <w:textAlignment w:val="auto"/>
        <w:rPr>
          <w:rFonts w:hint="eastAsia" w:ascii="宋体" w:hAnsi="宋体" w:eastAsia="宋体" w:cs="宋体"/>
          <w:b/>
          <w:bCs/>
          <w:sz w:val="24"/>
          <w:szCs w:val="24"/>
          <w:highlight w:val="none"/>
        </w:rPr>
      </w:pPr>
    </w:p>
    <w:p>
      <w:pPr>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sz w:val="24"/>
          <w:szCs w:val="24"/>
          <w:highlight w:val="none"/>
          <w:u w:val="single"/>
          <w:lang w:val="en-US" w:eastAsia="zh-CN"/>
        </w:rPr>
      </w:pPr>
      <w:r>
        <w:rPr>
          <w:rFonts w:hint="eastAsia" w:ascii="宋体" w:hAnsi="宋体" w:eastAsia="宋体" w:cs="宋体"/>
          <w:b/>
          <w:bCs/>
          <w:sz w:val="24"/>
          <w:szCs w:val="24"/>
          <w:highlight w:val="none"/>
          <w:lang w:val="en-US" w:eastAsia="zh-CN"/>
        </w:rPr>
        <w:t xml:space="preserve"> </w:t>
      </w:r>
      <w:r>
        <w:rPr>
          <w:rFonts w:hint="eastAsia" w:ascii="宋体" w:hAnsi="宋体" w:eastAsia="宋体" w:cs="宋体"/>
          <w:b/>
          <w:bCs/>
          <w:sz w:val="24"/>
          <w:szCs w:val="24"/>
          <w:highlight w:val="none"/>
        </w:rPr>
        <w:t>甲方：</w:t>
      </w:r>
      <w:r>
        <w:rPr>
          <w:rFonts w:hint="eastAsia" w:ascii="宋体" w:hAnsi="宋体" w:eastAsia="宋体" w:cs="宋体"/>
          <w:b/>
          <w:bCs/>
          <w:spacing w:val="85"/>
          <w:sz w:val="24"/>
          <w:szCs w:val="24"/>
          <w:highlight w:val="none"/>
        </w:rPr>
        <w:t>陕西西咸新区人民法院</w:t>
      </w:r>
    </w:p>
    <w:p>
      <w:pPr>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sz w:val="24"/>
          <w:szCs w:val="24"/>
          <w:highlight w:val="none"/>
          <w:u w:val="single"/>
          <w:lang w:val="en-US" w:eastAsia="zh-CN"/>
        </w:rPr>
      </w:pPr>
      <w:r>
        <w:rPr>
          <w:rFonts w:hint="eastAsia" w:ascii="宋体" w:hAnsi="宋体" w:eastAsia="宋体" w:cs="宋体"/>
          <w:b/>
          <w:bCs/>
          <w:sz w:val="24"/>
          <w:szCs w:val="24"/>
          <w:highlight w:val="none"/>
        </w:rPr>
        <w:t>乙方：</w:t>
      </w:r>
      <w:r>
        <w:rPr>
          <w:rFonts w:hint="eastAsia" w:ascii="宋体" w:hAnsi="宋体" w:eastAsia="宋体" w:cs="宋体"/>
          <w:b/>
          <w:bCs/>
          <w:sz w:val="24"/>
          <w:szCs w:val="24"/>
          <w:highlight w:val="none"/>
          <w:lang w:val="en-US" w:eastAsia="zh-CN"/>
        </w:rPr>
        <w:t>中国邮政速递物流股份有限公司西安市分公司</w:t>
      </w:r>
    </w:p>
    <w:p>
      <w:pPr>
        <w:pStyle w:val="5"/>
        <w:keepLines w:val="0"/>
        <w:pageBreakBefore w:val="0"/>
        <w:widowControl w:val="0"/>
        <w:kinsoku/>
        <w:wordWrap/>
        <w:overflowPunct/>
        <w:topLinePunct w:val="0"/>
        <w:autoSpaceDE/>
        <w:autoSpaceDN/>
        <w:bidi w:val="0"/>
        <w:adjustRightInd/>
        <w:spacing w:line="360" w:lineRule="auto"/>
        <w:ind w:left="0" w:leftChars="0" w:firstLine="0" w:firstLineChars="0"/>
        <w:jc w:val="center"/>
        <w:textAlignment w:val="auto"/>
        <w:rPr>
          <w:rFonts w:hint="eastAsia" w:ascii="宋体" w:hAnsi="宋体" w:eastAsia="宋体" w:cs="宋体"/>
          <w:b/>
          <w:bCs/>
          <w:i w:val="0"/>
          <w:iCs w:val="0"/>
          <w:kern w:val="2"/>
          <w:sz w:val="24"/>
          <w:szCs w:val="24"/>
          <w:highlight w:val="none"/>
          <w:u w:val="none"/>
          <w:lang w:val="en-US" w:eastAsia="zh-CN" w:bidi="ar-SA"/>
        </w:rPr>
        <w:sectPr>
          <w:pgSz w:w="11906" w:h="16838"/>
          <w:pgMar w:top="1417" w:right="1417" w:bottom="1417" w:left="1417" w:header="851" w:footer="992" w:gutter="0"/>
          <w:cols w:space="720" w:num="1"/>
          <w:docGrid w:type="lines" w:linePitch="312" w:charSpace="0"/>
        </w:sectPr>
      </w:pPr>
      <w:r>
        <w:rPr>
          <w:rFonts w:hint="eastAsia" w:ascii="宋体" w:hAnsi="宋体" w:eastAsia="宋体" w:cs="宋体"/>
          <w:b/>
          <w:bCs/>
          <w:i w:val="0"/>
          <w:iCs w:val="0"/>
          <w:kern w:val="2"/>
          <w:sz w:val="24"/>
          <w:szCs w:val="24"/>
          <w:highlight w:val="none"/>
          <w:u w:val="none"/>
          <w:lang w:val="en-US" w:eastAsia="zh-CN" w:bidi="ar-SA"/>
        </w:rPr>
        <w:t>202</w:t>
      </w:r>
      <w:r>
        <w:rPr>
          <w:rFonts w:hint="eastAsia" w:ascii="宋体" w:hAnsi="宋体" w:eastAsia="宋体" w:cs="宋体"/>
          <w:b/>
          <w:bCs/>
          <w:i w:val="0"/>
          <w:iCs w:val="0"/>
          <w:kern w:val="2"/>
          <w:sz w:val="24"/>
          <w:szCs w:val="24"/>
          <w:highlight w:val="none"/>
          <w:u w:val="none"/>
          <w:lang w:val="en-US" w:eastAsia="zh-CN" w:bidi="ar-SA"/>
        </w:rPr>
        <w:t>5</w:t>
      </w:r>
      <w:r>
        <w:rPr>
          <w:rFonts w:hint="eastAsia" w:ascii="宋体" w:hAnsi="宋体" w:eastAsia="宋体" w:cs="宋体"/>
          <w:b/>
          <w:bCs/>
          <w:i w:val="0"/>
          <w:iCs w:val="0"/>
          <w:kern w:val="2"/>
          <w:sz w:val="24"/>
          <w:szCs w:val="24"/>
          <w:highlight w:val="none"/>
          <w:u w:val="none"/>
          <w:lang w:val="en-US" w:eastAsia="zh-CN" w:bidi="ar-SA"/>
        </w:rPr>
        <w:t>年</w:t>
      </w:r>
      <w:r>
        <w:rPr>
          <w:rFonts w:hint="eastAsia" w:ascii="宋体" w:hAnsi="宋体" w:eastAsia="宋体" w:cs="宋体"/>
          <w:b/>
          <w:bCs/>
          <w:i w:val="0"/>
          <w:iCs w:val="0"/>
          <w:kern w:val="2"/>
          <w:sz w:val="24"/>
          <w:szCs w:val="24"/>
          <w:highlight w:val="none"/>
          <w:u w:val="single"/>
          <w:lang w:val="en-US" w:eastAsia="zh-CN" w:bidi="ar-SA"/>
        </w:rPr>
        <w:t xml:space="preserve">   </w:t>
      </w:r>
      <w:r>
        <w:rPr>
          <w:rFonts w:hint="eastAsia" w:ascii="宋体" w:hAnsi="宋体" w:eastAsia="宋体" w:cs="宋体"/>
          <w:b/>
          <w:bCs/>
          <w:i w:val="0"/>
          <w:iCs w:val="0"/>
          <w:kern w:val="2"/>
          <w:sz w:val="24"/>
          <w:szCs w:val="24"/>
          <w:highlight w:val="none"/>
          <w:u w:val="none"/>
          <w:lang w:val="en-US" w:eastAsia="zh-CN" w:bidi="ar-SA"/>
        </w:rPr>
        <w:t>月</w:t>
      </w:r>
      <w:r>
        <w:rPr>
          <w:rFonts w:hint="eastAsia" w:ascii="宋体" w:hAnsi="宋体" w:eastAsia="宋体" w:cs="宋体"/>
          <w:b/>
          <w:bCs/>
          <w:i w:val="0"/>
          <w:iCs w:val="0"/>
          <w:kern w:val="2"/>
          <w:sz w:val="24"/>
          <w:szCs w:val="24"/>
          <w:highlight w:val="none"/>
          <w:u w:val="single"/>
          <w:lang w:val="en-US" w:eastAsia="zh-CN" w:bidi="ar-SA"/>
        </w:rPr>
        <w:t xml:space="preserve">   </w:t>
      </w:r>
      <w:r>
        <w:rPr>
          <w:rFonts w:hint="eastAsia" w:ascii="宋体" w:hAnsi="宋体" w:eastAsia="宋体" w:cs="宋体"/>
          <w:b/>
          <w:bCs/>
          <w:i w:val="0"/>
          <w:iCs w:val="0"/>
          <w:kern w:val="2"/>
          <w:sz w:val="24"/>
          <w:szCs w:val="24"/>
          <w:highlight w:val="none"/>
          <w:u w:val="none"/>
          <w:lang w:val="en-US" w:eastAsia="zh-CN" w:bidi="ar-SA"/>
        </w:rPr>
        <w:t>日</w:t>
      </w:r>
    </w:p>
    <w:p>
      <w:pPr>
        <w:pageBreakBefore w:val="0"/>
        <w:kinsoku/>
        <w:wordWrap/>
        <w:overflowPunct/>
        <w:topLinePunct w:val="0"/>
        <w:bidi w:val="0"/>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甲方</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采购人）</w:t>
      </w:r>
      <w:r>
        <w:rPr>
          <w:rFonts w:hint="eastAsia" w:ascii="宋体" w:hAnsi="宋体" w:eastAsia="宋体" w:cs="宋体"/>
          <w:sz w:val="24"/>
          <w:szCs w:val="24"/>
        </w:rPr>
        <w:t>：</w:t>
      </w:r>
      <w:r>
        <w:rPr>
          <w:rFonts w:hint="eastAsia" w:ascii="宋体" w:hAnsi="宋体" w:eastAsia="宋体" w:cs="宋体"/>
          <w:sz w:val="24"/>
          <w:szCs w:val="24"/>
          <w:u w:val="single"/>
        </w:rPr>
        <w:t>陕西西咸新区人民法院</w:t>
      </w:r>
      <w:r>
        <w:rPr>
          <w:rFonts w:hint="eastAsia" w:ascii="宋体" w:hAnsi="宋体" w:eastAsia="宋体" w:cs="宋体"/>
          <w:sz w:val="24"/>
          <w:szCs w:val="24"/>
          <w:u w:val="single"/>
          <w:lang w:val="en-US" w:eastAsia="zh-CN"/>
        </w:rPr>
        <w:t xml:space="preserve">                    </w:t>
      </w:r>
    </w:p>
    <w:p>
      <w:pPr>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成交供应商）</w:t>
      </w:r>
      <w:r>
        <w:rPr>
          <w:rFonts w:hint="eastAsia" w:ascii="宋体" w:hAnsi="宋体" w:eastAsia="宋体" w:cs="宋体"/>
          <w:b w:val="0"/>
          <w:bCs w:val="0"/>
          <w:sz w:val="24"/>
          <w:szCs w:val="24"/>
          <w:u w:val="single"/>
          <w:lang w:val="en-US" w:eastAsia="zh-CN"/>
        </w:rPr>
        <w:t>中国邮政速递物流股份有限公司西安市分公司</w:t>
      </w:r>
    </w:p>
    <w:p>
      <w:pPr>
        <w:pageBreakBefore w:val="0"/>
        <w:widowControl/>
        <w:kinsoku/>
        <w:wordWrap/>
        <w:overflowPunct/>
        <w:topLinePunct w:val="0"/>
        <w:bidi w:val="0"/>
        <w:adjustRightInd w:val="0"/>
        <w:snapToGrid w:val="0"/>
        <w:spacing w:line="360" w:lineRule="auto"/>
        <w:ind w:right="0" w:rightChars="0" w:firstLine="480" w:firstLineChars="200"/>
        <w:jc w:val="left"/>
        <w:textAlignment w:val="auto"/>
        <w:rPr>
          <w:rFonts w:hint="eastAsia" w:ascii="宋体" w:hAnsi="宋体" w:eastAsia="宋体" w:cs="宋体"/>
          <w:color w:val="auto"/>
          <w:kern w:val="0"/>
          <w:sz w:val="24"/>
          <w:szCs w:val="24"/>
          <w:highlight w:val="none"/>
          <w:u w:val="none" w:color="000000"/>
          <w:shd w:val="clear" w:color="auto" w:fill="auto"/>
        </w:rPr>
      </w:pPr>
      <w:bookmarkStart w:id="4" w:name="_Toc244416560"/>
      <w:r>
        <w:rPr>
          <w:rFonts w:hint="eastAsia" w:ascii="宋体" w:hAnsi="宋体" w:eastAsia="宋体" w:cs="宋体"/>
          <w:sz w:val="24"/>
          <w:szCs w:val="24"/>
          <w:highlight w:val="none"/>
        </w:rPr>
        <w:t>依据《中华人民共和国</w:t>
      </w:r>
      <w:r>
        <w:rPr>
          <w:rFonts w:hint="eastAsia" w:ascii="宋体" w:hAnsi="宋体" w:eastAsia="宋体" w:cs="宋体"/>
          <w:sz w:val="24"/>
          <w:szCs w:val="24"/>
          <w:highlight w:val="none"/>
          <w:lang w:val="en-US" w:eastAsia="zh-CN"/>
        </w:rPr>
        <w:t>民法典</w:t>
      </w:r>
      <w:r>
        <w:rPr>
          <w:rFonts w:hint="eastAsia" w:ascii="宋体" w:hAnsi="宋体" w:eastAsia="宋体" w:cs="宋体"/>
          <w:sz w:val="24"/>
          <w:szCs w:val="24"/>
          <w:highlight w:val="none"/>
        </w:rPr>
        <w:t>》和《中华人民共和国政府采购法》，经双方协商按下述条款和条件签署本合同。</w:t>
      </w:r>
    </w:p>
    <w:p>
      <w:pPr>
        <w:pStyle w:val="4"/>
        <w:keepNext/>
        <w:keepLines/>
        <w:pageBreakBefore w:val="0"/>
        <w:widowControl w:val="0"/>
        <w:kinsoku/>
        <w:wordWrap/>
        <w:overflowPunct/>
        <w:topLinePunct w:val="0"/>
        <w:autoSpaceDE/>
        <w:autoSpaceDN/>
        <w:bidi w:val="0"/>
        <w:adjustRightInd/>
        <w:snapToGrid/>
        <w:spacing w:before="0" w:beforeLines="0" w:after="0" w:afterLines="0"/>
        <w:ind w:left="283"/>
        <w:jc w:val="both"/>
        <w:textAlignment w:val="auto"/>
        <w:rPr>
          <w:rFonts w:hint="eastAsia" w:ascii="宋体" w:hAnsi="宋体" w:eastAsia="宋体" w:cs="宋体"/>
        </w:rPr>
      </w:pPr>
      <w:bookmarkStart w:id="5" w:name="_Toc22506"/>
      <w:r>
        <w:rPr>
          <w:rFonts w:hint="eastAsia" w:ascii="宋体" w:hAnsi="宋体" w:eastAsia="宋体" w:cs="宋体"/>
        </w:rPr>
        <w:t>第一条、合同标的物内容及数量</w:t>
      </w:r>
      <w:bookmarkEnd w:id="5"/>
    </w:p>
    <w:tbl>
      <w:tblPr>
        <w:tblStyle w:val="12"/>
        <w:tblW w:w="502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4"/>
        <w:gridCol w:w="3196"/>
        <w:gridCol w:w="2517"/>
        <w:gridCol w:w="1499"/>
        <w:gridCol w:w="1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361" w:type="pct"/>
            <w:noWrap w:val="0"/>
            <w:vAlign w:val="center"/>
          </w:tcPr>
          <w:p>
            <w:pPr>
              <w:pageBreakBefore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序号</w:t>
            </w:r>
          </w:p>
        </w:tc>
        <w:tc>
          <w:tcPr>
            <w:tcW w:w="1712" w:type="pct"/>
            <w:noWrap w:val="0"/>
            <w:vAlign w:val="center"/>
          </w:tcPr>
          <w:p>
            <w:pPr>
              <w:pageBreakBefore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服务名称</w:t>
            </w:r>
          </w:p>
        </w:tc>
        <w:tc>
          <w:tcPr>
            <w:tcW w:w="1348" w:type="pct"/>
            <w:noWrap w:val="0"/>
            <w:vAlign w:val="center"/>
          </w:tcPr>
          <w:p>
            <w:pPr>
              <w:pageBreakBefore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highlight w:val="none"/>
              </w:rPr>
            </w:pPr>
            <w:r>
              <w:rPr>
                <w:rFonts w:hint="eastAsia" w:ascii="宋体" w:hAnsi="宋体" w:eastAsia="宋体" w:cs="宋体"/>
                <w:color w:val="000000"/>
                <w:spacing w:val="-20"/>
                <w:kern w:val="0"/>
                <w:sz w:val="24"/>
                <w:szCs w:val="24"/>
                <w:highlight w:val="none"/>
              </w:rPr>
              <w:t>服务内容</w:t>
            </w:r>
          </w:p>
        </w:tc>
        <w:tc>
          <w:tcPr>
            <w:tcW w:w="803" w:type="pct"/>
            <w:noWrap w:val="0"/>
            <w:vAlign w:val="center"/>
          </w:tcPr>
          <w:p>
            <w:pPr>
              <w:pageBreakBefore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highlight w:val="none"/>
              </w:rPr>
            </w:pPr>
            <w:r>
              <w:rPr>
                <w:rFonts w:hint="eastAsia" w:ascii="宋体" w:hAnsi="宋体" w:eastAsia="宋体" w:cs="宋体"/>
                <w:color w:val="000000"/>
                <w:spacing w:val="-20"/>
                <w:kern w:val="0"/>
                <w:sz w:val="24"/>
                <w:szCs w:val="24"/>
                <w:highlight w:val="none"/>
              </w:rPr>
              <w:t>数量</w:t>
            </w:r>
          </w:p>
        </w:tc>
        <w:tc>
          <w:tcPr>
            <w:tcW w:w="775" w:type="pct"/>
            <w:noWrap w:val="0"/>
            <w:vAlign w:val="center"/>
          </w:tcPr>
          <w:p>
            <w:pPr>
              <w:pageBreakBefore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1" w:type="pct"/>
            <w:noWrap w:val="0"/>
            <w:vAlign w:val="center"/>
          </w:tcPr>
          <w:p>
            <w:pPr>
              <w:pageBreakBefore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1</w:t>
            </w:r>
          </w:p>
        </w:tc>
        <w:tc>
          <w:tcPr>
            <w:tcW w:w="1712" w:type="pct"/>
            <w:noWrap w:val="0"/>
            <w:vAlign w:val="center"/>
          </w:tcPr>
          <w:p>
            <w:pPr>
              <w:pageBreakBefore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0"/>
                <w:kern w:val="0"/>
                <w:sz w:val="24"/>
                <w:szCs w:val="24"/>
              </w:rPr>
            </w:pPr>
            <w:r>
              <w:rPr>
                <w:rFonts w:hint="eastAsia" w:ascii="宋体" w:hAnsi="宋体" w:eastAsia="宋体" w:cs="宋体"/>
                <w:color w:val="000000"/>
                <w:spacing w:val="0"/>
                <w:kern w:val="0"/>
                <w:sz w:val="24"/>
                <w:szCs w:val="24"/>
                <w:lang w:eastAsia="zh-CN"/>
              </w:rPr>
              <w:t>陕西西咸新区人民法院集约化送达及邮寄服务项目</w:t>
            </w:r>
          </w:p>
        </w:tc>
        <w:tc>
          <w:tcPr>
            <w:tcW w:w="1348" w:type="pct"/>
            <w:noWrap w:val="0"/>
            <w:vAlign w:val="center"/>
          </w:tcPr>
          <w:p>
            <w:pPr>
              <w:pageBreakBefore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0"/>
                <w:kern w:val="0"/>
                <w:sz w:val="24"/>
                <w:szCs w:val="24"/>
                <w:lang w:val="en-US" w:eastAsia="zh-CN"/>
              </w:rPr>
            </w:pPr>
            <w:r>
              <w:rPr>
                <w:rFonts w:hint="eastAsia" w:ascii="宋体" w:hAnsi="宋体" w:eastAsia="宋体" w:cs="宋体"/>
                <w:color w:val="000000"/>
                <w:spacing w:val="0"/>
                <w:kern w:val="0"/>
                <w:sz w:val="24"/>
                <w:szCs w:val="24"/>
                <w:lang w:val="en-US" w:eastAsia="zh-CN"/>
              </w:rPr>
              <w:t>详见采购需求</w:t>
            </w:r>
          </w:p>
        </w:tc>
        <w:tc>
          <w:tcPr>
            <w:tcW w:w="803" w:type="pct"/>
            <w:noWrap w:val="0"/>
            <w:vAlign w:val="center"/>
          </w:tcPr>
          <w:p>
            <w:pPr>
              <w:pageBreakBefore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p>
        </w:tc>
        <w:tc>
          <w:tcPr>
            <w:tcW w:w="775" w:type="pct"/>
            <w:noWrap w:val="0"/>
            <w:vAlign w:val="center"/>
          </w:tcPr>
          <w:p>
            <w:pPr>
              <w:pageBreakBefore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1" w:type="pct"/>
            <w:noWrap w:val="0"/>
            <w:vAlign w:val="center"/>
          </w:tcPr>
          <w:p>
            <w:pPr>
              <w:pageBreakBefore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r>
              <w:rPr>
                <w:rFonts w:hint="eastAsia" w:ascii="宋体" w:hAnsi="宋体" w:eastAsia="宋体" w:cs="宋体"/>
                <w:color w:val="000000"/>
                <w:spacing w:val="-20"/>
                <w:kern w:val="0"/>
                <w:sz w:val="24"/>
                <w:szCs w:val="24"/>
              </w:rPr>
              <w:t>合计</w:t>
            </w:r>
          </w:p>
        </w:tc>
        <w:tc>
          <w:tcPr>
            <w:tcW w:w="4638" w:type="pct"/>
            <w:gridSpan w:val="4"/>
            <w:noWrap w:val="0"/>
            <w:vAlign w:val="center"/>
          </w:tcPr>
          <w:p>
            <w:pPr>
              <w:pageBreakBefore w:val="0"/>
              <w:tabs>
                <w:tab w:val="left" w:pos="480"/>
              </w:tabs>
              <w:kinsoku/>
              <w:wordWrap/>
              <w:overflowPunct/>
              <w:topLinePunct w:val="0"/>
              <w:bidi w:val="0"/>
              <w:spacing w:line="360" w:lineRule="auto"/>
              <w:jc w:val="center"/>
              <w:textAlignment w:val="auto"/>
              <w:rPr>
                <w:rFonts w:hint="eastAsia" w:ascii="宋体" w:hAnsi="宋体" w:eastAsia="宋体" w:cs="宋体"/>
                <w:color w:val="000000"/>
                <w:spacing w:val="-20"/>
                <w:kern w:val="0"/>
                <w:sz w:val="24"/>
                <w:szCs w:val="24"/>
              </w:rPr>
            </w:pPr>
          </w:p>
        </w:tc>
      </w:tr>
    </w:tbl>
    <w:p>
      <w:pPr>
        <w:pStyle w:val="4"/>
        <w:keepNext/>
        <w:keepLines/>
        <w:pageBreakBefore w:val="0"/>
        <w:widowControl w:val="0"/>
        <w:kinsoku/>
        <w:wordWrap/>
        <w:overflowPunct/>
        <w:topLinePunct w:val="0"/>
        <w:autoSpaceDE/>
        <w:autoSpaceDN/>
        <w:bidi w:val="0"/>
        <w:adjustRightInd/>
        <w:snapToGrid/>
        <w:spacing w:before="0" w:beforeLines="0" w:after="0" w:afterLines="0"/>
        <w:ind w:left="0" w:leftChars="0" w:firstLine="0" w:firstLineChars="0"/>
        <w:jc w:val="both"/>
        <w:textAlignment w:val="auto"/>
        <w:rPr>
          <w:rFonts w:hint="eastAsia" w:ascii="宋体" w:hAnsi="宋体" w:eastAsia="宋体" w:cs="宋体"/>
        </w:rPr>
      </w:pPr>
      <w:bookmarkStart w:id="6" w:name="_Toc5341"/>
      <w:r>
        <w:rPr>
          <w:rFonts w:hint="eastAsia" w:ascii="宋体" w:hAnsi="宋体" w:eastAsia="宋体" w:cs="宋体"/>
        </w:rPr>
        <w:t>第二条、服务条件</w:t>
      </w:r>
      <w:bookmarkEnd w:id="6"/>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rPr>
        <w:t>（一</w:t>
      </w:r>
      <w:r>
        <w:rPr>
          <w:rFonts w:hint="eastAsia" w:ascii="宋体" w:hAnsi="宋体" w:eastAsia="宋体" w:cs="宋体"/>
          <w:sz w:val="24"/>
          <w:szCs w:val="24"/>
          <w:highlight w:val="none"/>
        </w:rPr>
        <w:t>）服务地点：甲方指定地点。</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（二）服务期：</w:t>
      </w:r>
      <w:r>
        <w:rPr>
          <w:rFonts w:hint="eastAsia" w:ascii="宋体" w:hAnsi="宋体" w:eastAsia="宋体" w:cs="宋体"/>
          <w:sz w:val="24"/>
          <w:szCs w:val="24"/>
          <w:highlight w:val="none"/>
          <w:u w:val="single"/>
        </w:rPr>
        <w:t>一年</w:t>
      </w:r>
      <w:r>
        <w:rPr>
          <w:rFonts w:hint="eastAsia" w:ascii="宋体" w:hAnsi="宋体" w:eastAsia="宋体" w:cs="宋体"/>
          <w:sz w:val="24"/>
          <w:szCs w:val="24"/>
          <w:highlight w:val="none"/>
        </w:rPr>
        <w:t>。</w:t>
      </w:r>
    </w:p>
    <w:bookmarkEnd w:id="4"/>
    <w:p>
      <w:pPr>
        <w:pStyle w:val="4"/>
        <w:keepNext/>
        <w:keepLines/>
        <w:pageBreakBefore w:val="0"/>
        <w:widowControl w:val="0"/>
        <w:kinsoku/>
        <w:wordWrap/>
        <w:overflowPunct/>
        <w:topLinePunct w:val="0"/>
        <w:autoSpaceDE/>
        <w:autoSpaceDN/>
        <w:bidi w:val="0"/>
        <w:adjustRightInd/>
        <w:snapToGrid/>
        <w:spacing w:before="0" w:beforeLines="0" w:after="0" w:afterLines="0"/>
        <w:ind w:left="0" w:leftChars="0" w:firstLine="0" w:firstLineChars="0"/>
        <w:jc w:val="both"/>
        <w:textAlignment w:val="auto"/>
        <w:rPr>
          <w:rFonts w:hint="eastAsia" w:ascii="宋体" w:hAnsi="宋体" w:eastAsia="宋体" w:cs="宋体"/>
          <w:highlight w:val="none"/>
        </w:rPr>
      </w:pPr>
      <w:bookmarkStart w:id="7" w:name="_Toc244416561"/>
      <w:bookmarkStart w:id="8" w:name="_Toc28619"/>
      <w:r>
        <w:rPr>
          <w:rFonts w:hint="eastAsia" w:ascii="宋体" w:hAnsi="宋体" w:eastAsia="宋体" w:cs="宋体"/>
          <w:highlight w:val="none"/>
        </w:rPr>
        <w:t>第三条、</w:t>
      </w:r>
      <w:bookmarkEnd w:id="7"/>
      <w:r>
        <w:rPr>
          <w:rFonts w:hint="eastAsia" w:ascii="宋体" w:hAnsi="宋体" w:eastAsia="宋体" w:cs="宋体"/>
          <w:highlight w:val="none"/>
        </w:rPr>
        <w:t>合同价款、付款方式及比例</w:t>
      </w:r>
      <w:bookmarkEnd w:id="8"/>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（一）合同价款</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w:t>
      </w:r>
      <w:r>
        <w:rPr>
          <w:rFonts w:hint="eastAsia" w:ascii="宋体" w:hAnsi="宋体" w:eastAsia="宋体" w:cs="宋体"/>
          <w:color w:val="auto"/>
          <w:sz w:val="24"/>
          <w:szCs w:val="24"/>
          <w:highlight w:val="none"/>
          <w:lang w:val="en-US" w:eastAsia="zh-CN"/>
        </w:rPr>
        <w:t>总价</w:t>
      </w:r>
      <w:r>
        <w:rPr>
          <w:rFonts w:hint="eastAsia" w:ascii="宋体" w:hAnsi="宋体" w:eastAsia="宋体" w:cs="宋体"/>
          <w:color w:val="auto"/>
          <w:sz w:val="24"/>
          <w:szCs w:val="24"/>
          <w:highlight w:val="none"/>
        </w:rPr>
        <w:t>为人民币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元。合同</w:t>
      </w:r>
      <w:r>
        <w:rPr>
          <w:rFonts w:hint="eastAsia" w:ascii="宋体" w:hAnsi="宋体" w:eastAsia="宋体" w:cs="宋体"/>
          <w:color w:val="auto"/>
          <w:sz w:val="24"/>
          <w:szCs w:val="24"/>
          <w:highlight w:val="none"/>
          <w:lang w:val="en-US" w:eastAsia="zh-CN"/>
        </w:rPr>
        <w:t>总价</w:t>
      </w:r>
      <w:r>
        <w:rPr>
          <w:rFonts w:hint="eastAsia" w:ascii="宋体" w:hAnsi="宋体" w:eastAsia="宋体" w:cs="宋体"/>
          <w:color w:val="auto"/>
          <w:sz w:val="24"/>
          <w:szCs w:val="24"/>
          <w:highlight w:val="none"/>
        </w:rPr>
        <w:t>一次性包死，不受市场价格变化因素的影响。</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（二）付款方式</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w:t>
      </w:r>
    </w:p>
    <w:p>
      <w:pPr>
        <w:pStyle w:val="4"/>
        <w:keepNext/>
        <w:keepLines/>
        <w:pageBreakBefore w:val="0"/>
        <w:widowControl w:val="0"/>
        <w:kinsoku/>
        <w:wordWrap/>
        <w:overflowPunct/>
        <w:topLinePunct w:val="0"/>
        <w:autoSpaceDE/>
        <w:autoSpaceDN/>
        <w:bidi w:val="0"/>
        <w:adjustRightInd/>
        <w:snapToGrid/>
        <w:spacing w:before="0" w:beforeLines="0" w:after="0" w:afterLines="0"/>
        <w:ind w:left="0" w:leftChars="0" w:firstLine="0" w:firstLineChars="0"/>
        <w:jc w:val="both"/>
        <w:textAlignment w:val="auto"/>
        <w:rPr>
          <w:rFonts w:hint="eastAsia" w:ascii="宋体" w:hAnsi="宋体" w:eastAsia="宋体" w:cs="宋体"/>
          <w:highlight w:val="none"/>
        </w:rPr>
      </w:pPr>
      <w:bookmarkStart w:id="9" w:name="_Toc16159"/>
      <w:r>
        <w:rPr>
          <w:rFonts w:hint="eastAsia" w:ascii="宋体" w:hAnsi="宋体" w:eastAsia="宋体" w:cs="宋体"/>
          <w:highlight w:val="none"/>
        </w:rPr>
        <w:t>第四条、验收标准及方法</w:t>
      </w:r>
      <w:bookmarkEnd w:id="9"/>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（一）乙方完成并交付的工作成果需经甲方验收合格，则视为接受。如果在验收时甲方表明不接受乙方提交的工作成果并明示不接受的原因，乙方应当采取合理之措施进行修改，以达到合同规定的要求。</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（二）验收依据</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1、本合同及附件文本所约定的验收标准； </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单一来源谈判</w:t>
      </w:r>
      <w:r>
        <w:rPr>
          <w:rFonts w:hint="eastAsia" w:ascii="宋体" w:hAnsi="宋体" w:eastAsia="宋体" w:cs="宋体"/>
          <w:sz w:val="24"/>
          <w:szCs w:val="24"/>
        </w:rPr>
        <w:t>文件、</w:t>
      </w:r>
      <w:r>
        <w:rPr>
          <w:rFonts w:hint="eastAsia" w:ascii="宋体" w:hAnsi="宋体" w:eastAsia="宋体" w:cs="宋体"/>
          <w:sz w:val="24"/>
          <w:szCs w:val="24"/>
          <w:lang w:val="en-US" w:eastAsia="zh-CN"/>
        </w:rPr>
        <w:t>单一来源谈判</w:t>
      </w:r>
      <w:r>
        <w:rPr>
          <w:rFonts w:hint="eastAsia" w:ascii="宋体" w:hAnsi="宋体" w:eastAsia="宋体" w:cs="宋体"/>
          <w:sz w:val="24"/>
          <w:szCs w:val="24"/>
        </w:rPr>
        <w:t>响应文件、澄清表（函）；</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3、国家相应的标准、规范。</w:t>
      </w:r>
    </w:p>
    <w:p>
      <w:pPr>
        <w:pStyle w:val="4"/>
        <w:keepNext/>
        <w:keepLines/>
        <w:pageBreakBefore w:val="0"/>
        <w:widowControl w:val="0"/>
        <w:kinsoku/>
        <w:wordWrap/>
        <w:overflowPunct/>
        <w:topLinePunct w:val="0"/>
        <w:autoSpaceDE/>
        <w:autoSpaceDN/>
        <w:bidi w:val="0"/>
        <w:adjustRightInd/>
        <w:snapToGrid/>
        <w:spacing w:before="0" w:beforeLines="0" w:after="0" w:afterLines="0"/>
        <w:ind w:left="0" w:leftChars="0" w:firstLine="0" w:firstLineChars="0"/>
        <w:jc w:val="both"/>
        <w:textAlignment w:val="auto"/>
        <w:rPr>
          <w:rFonts w:hint="eastAsia" w:ascii="宋体" w:hAnsi="宋体" w:eastAsia="宋体" w:cs="宋体"/>
        </w:rPr>
      </w:pPr>
      <w:bookmarkStart w:id="10" w:name="_Toc12412"/>
      <w:r>
        <w:rPr>
          <w:rFonts w:hint="eastAsia" w:ascii="宋体" w:hAnsi="宋体" w:eastAsia="宋体" w:cs="宋体"/>
        </w:rPr>
        <w:t>第五条、质量保证</w:t>
      </w:r>
      <w:bookmarkEnd w:id="10"/>
    </w:p>
    <w:p>
      <w:pPr>
        <w:pageBreakBefore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sz w:val="24"/>
          <w:szCs w:val="24"/>
          <w:u w:val="single"/>
          <w:lang w:val="en-US" w:eastAsia="zh-CN"/>
        </w:rPr>
        <w:t xml:space="preserve">                               </w:t>
      </w:r>
      <w:r>
        <w:rPr>
          <w:rFonts w:hint="eastAsia" w:ascii="宋体" w:hAnsi="宋体" w:eastAsia="宋体" w:cs="宋体"/>
          <w:color w:val="auto"/>
          <w:sz w:val="24"/>
          <w:szCs w:val="24"/>
          <w:highlight w:val="none"/>
        </w:rPr>
        <w:t>。</w:t>
      </w:r>
    </w:p>
    <w:p>
      <w:pPr>
        <w:pStyle w:val="4"/>
        <w:keepNext/>
        <w:keepLines/>
        <w:pageBreakBefore w:val="0"/>
        <w:widowControl w:val="0"/>
        <w:kinsoku/>
        <w:wordWrap/>
        <w:overflowPunct/>
        <w:topLinePunct w:val="0"/>
        <w:autoSpaceDE/>
        <w:autoSpaceDN/>
        <w:bidi w:val="0"/>
        <w:adjustRightInd/>
        <w:snapToGrid/>
        <w:spacing w:before="0" w:beforeLines="0" w:after="0" w:afterLines="0"/>
        <w:ind w:left="0" w:leftChars="0" w:firstLine="0" w:firstLineChars="0"/>
        <w:jc w:val="both"/>
        <w:textAlignment w:val="auto"/>
        <w:rPr>
          <w:rFonts w:hint="eastAsia" w:ascii="宋体" w:hAnsi="宋体" w:eastAsia="宋体" w:cs="宋体"/>
        </w:rPr>
      </w:pPr>
      <w:bookmarkStart w:id="11" w:name="_Toc32579"/>
      <w:r>
        <w:rPr>
          <w:rFonts w:hint="eastAsia" w:ascii="宋体" w:hAnsi="宋体" w:eastAsia="宋体" w:cs="宋体"/>
        </w:rPr>
        <w:t>第六条、双方的权利和义务</w:t>
      </w:r>
      <w:bookmarkEnd w:id="11"/>
    </w:p>
    <w:p>
      <w:pPr>
        <w:pageBreakBefore w:val="0"/>
        <w:tabs>
          <w:tab w:val="left" w:pos="480"/>
        </w:tabs>
        <w:kinsoku/>
        <w:wordWrap/>
        <w:overflowPunct/>
        <w:topLinePunct w:val="0"/>
        <w:bidi w:val="0"/>
        <w:spacing w:line="360" w:lineRule="auto"/>
        <w:ind w:firstLine="480" w:firstLineChars="200"/>
        <w:textAlignment w:val="auto"/>
        <w:outlineLvl w:val="1"/>
        <w:rPr>
          <w:rFonts w:hint="eastAsia" w:ascii="宋体" w:hAnsi="宋体" w:eastAsia="宋体" w:cs="宋体"/>
          <w:sz w:val="24"/>
          <w:szCs w:val="24"/>
        </w:rPr>
      </w:pPr>
      <w:bookmarkStart w:id="12" w:name="_Toc10120"/>
      <w:r>
        <w:rPr>
          <w:rFonts w:hint="eastAsia" w:ascii="宋体" w:hAnsi="宋体" w:eastAsia="宋体" w:cs="宋体"/>
          <w:sz w:val="24"/>
          <w:szCs w:val="24"/>
        </w:rPr>
        <w:t>（一）甲方的权利和义务</w:t>
      </w:r>
      <w:bookmarkEnd w:id="12"/>
    </w:p>
    <w:p>
      <w:pPr>
        <w:pageBreakBefore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1、乙方进行现场维护时，甲方应在维护产品附近为乙方人员提供足够的贮物空间，为乙方维保工作提供便利。</w:t>
      </w:r>
    </w:p>
    <w:p>
      <w:pPr>
        <w:pageBreakBefore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2、在甲方安全规定允许的前提下，为乙方的人员能够顺利到达维护现场提供方便。</w:t>
      </w:r>
    </w:p>
    <w:p>
      <w:pPr>
        <w:pageBreakBefore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3、甲方按照乙方的指导进行非现场维护操作。</w:t>
      </w:r>
    </w:p>
    <w:p>
      <w:pPr>
        <w:pageBreakBefore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4、甲方及时将本合同下维保范围内出现的故障情况通知乙方，乙方负责做好故障有关资料的记录工作。</w:t>
      </w:r>
    </w:p>
    <w:p>
      <w:pPr>
        <w:pageBreakBefore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5、应乙方维保要求，甲方需提供所需维保服务的所有设备的产品型号、序列号、配置、购买时间、安装地点和设备用途等信息。</w:t>
      </w:r>
    </w:p>
    <w:p>
      <w:pPr>
        <w:pageBreakBefore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6、甲方有权对乙方工程师的工作态度、技术水平进行监督和评判并提出相应的要求，乙方也会由独立的服务质量监督人员对甲方予以不定期的回访。</w:t>
      </w:r>
    </w:p>
    <w:p>
      <w:pPr>
        <w:pageBreakBefore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7、甲方有权不定时、不定范围开展书面或口头的运维满意度调查，并有权向乙方反馈调查情况，乙方应听取甲方反馈的意见；形成书面调查表并加盖有部门以上印章的，可以作为扣除款项的依据。</w:t>
      </w:r>
    </w:p>
    <w:p>
      <w:pPr>
        <w:pageBreakBefore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bCs/>
          <w:sz w:val="24"/>
          <w:szCs w:val="24"/>
        </w:rPr>
        <w:t>8、</w:t>
      </w:r>
      <w:r>
        <w:rPr>
          <w:rFonts w:hint="eastAsia" w:ascii="宋体" w:hAnsi="宋体" w:eastAsia="宋体" w:cs="宋体"/>
          <w:sz w:val="24"/>
          <w:szCs w:val="24"/>
        </w:rPr>
        <w:t>在项目实施过程中，如甲方发现某项目组成员不能满足工作要求，甲方有权要求乙方进行人员调整。</w:t>
      </w:r>
    </w:p>
    <w:p>
      <w:pPr>
        <w:pageBreakBefore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9、在项目实施过程中发生的人身及财产损失由乙方负责，甲方不承担任何责任。</w:t>
      </w:r>
    </w:p>
    <w:p>
      <w:pPr>
        <w:pageBreakBefore w:val="0"/>
        <w:tabs>
          <w:tab w:val="left" w:pos="480"/>
        </w:tabs>
        <w:kinsoku/>
        <w:wordWrap/>
        <w:overflowPunct/>
        <w:topLinePunct w:val="0"/>
        <w:bidi w:val="0"/>
        <w:spacing w:line="360" w:lineRule="auto"/>
        <w:ind w:firstLine="480" w:firstLineChars="200"/>
        <w:textAlignment w:val="auto"/>
        <w:outlineLvl w:val="1"/>
        <w:rPr>
          <w:rFonts w:hint="eastAsia" w:ascii="宋体" w:hAnsi="宋体" w:eastAsia="宋体" w:cs="宋体"/>
          <w:sz w:val="24"/>
          <w:szCs w:val="24"/>
        </w:rPr>
      </w:pPr>
      <w:bookmarkStart w:id="13" w:name="_Toc14691"/>
      <w:r>
        <w:rPr>
          <w:rFonts w:hint="eastAsia" w:ascii="宋体" w:hAnsi="宋体" w:eastAsia="宋体" w:cs="宋体"/>
          <w:sz w:val="24"/>
          <w:szCs w:val="24"/>
        </w:rPr>
        <w:t>（二）乙方的权利和义务</w:t>
      </w:r>
      <w:bookmarkEnd w:id="13"/>
    </w:p>
    <w:p>
      <w:pPr>
        <w:pageBreakBefore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1、乙方确保提供维保服务的设备能够稳定安全的运行。保证备件和备机的技术指标先进、质量性能可靠、进货渠道正常，配置合理，全面满足甲方要求。</w:t>
      </w:r>
    </w:p>
    <w:p>
      <w:pPr>
        <w:pageBreakBefore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2、乙方为甲方提供定期巡检，做好预防性维护。</w:t>
      </w:r>
    </w:p>
    <w:p>
      <w:pPr>
        <w:pageBreakBefore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3、乙方进入甲方机房，必须持有甲方签发的通行证，并由甲方人员陪同，同时遵守机房的各种规定。</w:t>
      </w:r>
    </w:p>
    <w:p>
      <w:pPr>
        <w:pageBreakBefore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乙方在甲方机房操作期间必须由甲方人员进行现场监督，所进行的操作必须经过甲方同意；工作结束后，需经甲乙双方现场人员检查系统，书面确认操作内容和操作达到目的，且系统运行正常后方可离开现场。</w:t>
      </w:r>
    </w:p>
    <w:p>
      <w:pPr>
        <w:pageBreakBefore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5、乙方保证在甲方现场的工作人员严格按照甲方现场管理要求和工作纪律行事。</w:t>
      </w:r>
    </w:p>
    <w:p>
      <w:pPr>
        <w:pageBreakBefore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6、因乙方技术问题或维护问题造成甲方的硬件受到损坏，乙方应负责赔偿甲方因此所遭受的全部损失。</w:t>
      </w:r>
    </w:p>
    <w:p>
      <w:pPr>
        <w:pageBreakBefore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7、乙方应按甲方要求如期向甲方交付相关文档，如定期的巡检报告服务季度报告、现场服务单等。</w:t>
      </w:r>
    </w:p>
    <w:p>
      <w:pPr>
        <w:pageBreakBefore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8、乙方在服务过程中发现非本合同服务范围内的软硬件问题导致系统故障，应及时向甲方汇报，在获得甲方的许可和费用确认后另行处理。</w:t>
      </w:r>
    </w:p>
    <w:p>
      <w:pPr>
        <w:pageBreakBefore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9、对系统的更新升级，以及数据的增加、更改、删除、向外拷贝等操作，乙方在执行前应当获得甲方单独的授权或许可，未经甲方授权或许可的不得执行该操作。</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bCs/>
          <w:sz w:val="24"/>
          <w:szCs w:val="24"/>
        </w:rPr>
        <w:t>10、</w:t>
      </w:r>
      <w:r>
        <w:rPr>
          <w:rFonts w:hint="eastAsia" w:ascii="宋体" w:hAnsi="宋体" w:eastAsia="宋体" w:cs="宋体"/>
          <w:sz w:val="24"/>
          <w:szCs w:val="24"/>
        </w:rPr>
        <w:t>在项目实施过程中，乙方项目组成员（特别是项目经理）未经甲方许可不得随意变动。乙方项目经理离开24小时，需向甲方提出书面申请，经甲方书面同意方可变动。乙方项目组成员如需变动，需向甲方提出书面申请，经甲方书面同意方可变动。</w:t>
      </w:r>
    </w:p>
    <w:p>
      <w:pPr>
        <w:pStyle w:val="4"/>
        <w:keepNext/>
        <w:keepLines/>
        <w:pageBreakBefore w:val="0"/>
        <w:widowControl w:val="0"/>
        <w:kinsoku/>
        <w:wordWrap/>
        <w:overflowPunct/>
        <w:topLinePunct w:val="0"/>
        <w:autoSpaceDE/>
        <w:autoSpaceDN/>
        <w:bidi w:val="0"/>
        <w:adjustRightInd/>
        <w:snapToGrid/>
        <w:spacing w:before="0" w:beforeLines="0" w:after="0" w:afterLines="0"/>
        <w:ind w:left="0" w:leftChars="0" w:firstLine="0" w:firstLineChars="0"/>
        <w:jc w:val="both"/>
        <w:textAlignment w:val="auto"/>
        <w:rPr>
          <w:rFonts w:hint="eastAsia" w:ascii="宋体" w:hAnsi="宋体" w:eastAsia="宋体" w:cs="宋体"/>
        </w:rPr>
      </w:pPr>
      <w:bookmarkStart w:id="14" w:name="_Toc19075"/>
      <w:r>
        <w:rPr>
          <w:rFonts w:hint="eastAsia" w:ascii="宋体" w:hAnsi="宋体" w:eastAsia="宋体" w:cs="宋体"/>
        </w:rPr>
        <w:t>第七条、保密责任</w:t>
      </w:r>
      <w:bookmarkEnd w:id="14"/>
    </w:p>
    <w:p>
      <w:pPr>
        <w:pageBreakBefore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（一）乙方应遵守国家有关保密的法律法规和行业规定，并对甲方提供的资料负有保密义务。未经甲方同意，不得将在甲方处获得的信息资料带离甲方指定的工作场所或泄露给其他单位和个人。</w:t>
      </w:r>
    </w:p>
    <w:p>
      <w:pPr>
        <w:pageBreakBefore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（二）甲方保护乙方的知识产权，但依据相关法定职责对外公开的除外。</w:t>
      </w:r>
    </w:p>
    <w:p>
      <w:pPr>
        <w:pStyle w:val="4"/>
        <w:keepNext/>
        <w:keepLines/>
        <w:pageBreakBefore w:val="0"/>
        <w:widowControl w:val="0"/>
        <w:kinsoku/>
        <w:wordWrap/>
        <w:overflowPunct/>
        <w:topLinePunct w:val="0"/>
        <w:autoSpaceDE/>
        <w:autoSpaceDN/>
        <w:bidi w:val="0"/>
        <w:adjustRightInd/>
        <w:snapToGrid/>
        <w:spacing w:before="0" w:beforeLines="0" w:after="0" w:afterLines="0"/>
        <w:ind w:left="0" w:leftChars="0" w:firstLine="0" w:firstLineChars="0"/>
        <w:jc w:val="both"/>
        <w:textAlignment w:val="auto"/>
        <w:rPr>
          <w:rFonts w:hint="eastAsia" w:ascii="宋体" w:hAnsi="宋体" w:eastAsia="宋体" w:cs="宋体"/>
        </w:rPr>
      </w:pPr>
      <w:bookmarkStart w:id="15" w:name="_Toc20219"/>
      <w:r>
        <w:rPr>
          <w:rFonts w:hint="eastAsia" w:ascii="宋体" w:hAnsi="宋体" w:eastAsia="宋体" w:cs="宋体"/>
        </w:rPr>
        <w:t>第八条、违约情形及责任</w:t>
      </w:r>
      <w:bookmarkEnd w:id="15"/>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（一）</w:t>
      </w:r>
      <w:r>
        <w:rPr>
          <w:rFonts w:hint="eastAsia" w:ascii="宋体" w:hAnsi="宋体" w:eastAsia="宋体" w:cs="宋体"/>
          <w:sz w:val="24"/>
          <w:szCs w:val="24"/>
          <w:lang w:val="en-US" w:eastAsia="zh-CN"/>
        </w:rPr>
        <w:t>除不可抗力外，如果乙方没有按照本合同约定的期限、地点和方式履行，那么甲方可要求乙方支付违约金，违约金按每迟延履行一日的应提供而未提供服务价格的0.5%计算，最高限额为本合同总价的5%;迟延履行的违约金计算数额达到前述最高限额之日起，甲方有权在要求乙方支付违约金的同时，书面通知乙方解除本合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除不可抗力外，如果甲方没有按照本合同约定的付款方式付款，那么乙方可要求甲方支付违约金，违约金按每迟延付款一日的应付而未付款的0.5%计算，最高限额为本合同总价的5%;迟延付款的违约金计算数额达到前述最高限额之日起乙方有权在要求甲方支付违约金的同时，书面通知甲方解除本合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 以谎报事实或隐瞒真相的方法来影响对方当事人在合同签订、履行过程中的行为)的，对方当事人可以书面通知违约方解除本合同；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五）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（六）如果出现政府采购监督管理部门在处理投诉事项期间，书面通知甲方暂停采购活动的情形，或者询问或质疑事项可能影响成交结果的，导致甲方中止履行合同的情形，均不视为甲方违约</w:t>
      </w:r>
      <w:r>
        <w:rPr>
          <w:rFonts w:hint="eastAsia" w:ascii="宋体" w:hAnsi="宋体" w:eastAsia="宋体" w:cs="宋体"/>
          <w:sz w:val="24"/>
          <w:szCs w:val="24"/>
        </w:rPr>
        <w:t>。</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（七）其他违约行为，按照国家有关法规和条例承担法律责任。</w:t>
      </w:r>
    </w:p>
    <w:p>
      <w:pPr>
        <w:pStyle w:val="4"/>
        <w:keepNext/>
        <w:keepLines/>
        <w:pageBreakBefore w:val="0"/>
        <w:widowControl w:val="0"/>
        <w:kinsoku/>
        <w:wordWrap/>
        <w:overflowPunct/>
        <w:topLinePunct w:val="0"/>
        <w:autoSpaceDE/>
        <w:autoSpaceDN/>
        <w:bidi w:val="0"/>
        <w:adjustRightInd/>
        <w:snapToGrid/>
        <w:spacing w:before="0" w:beforeLines="0" w:after="0" w:afterLines="0"/>
        <w:ind w:left="0" w:leftChars="0" w:firstLine="0" w:firstLineChars="0"/>
        <w:jc w:val="both"/>
        <w:textAlignment w:val="auto"/>
        <w:rPr>
          <w:rFonts w:hint="eastAsia" w:ascii="宋体" w:hAnsi="宋体" w:eastAsia="宋体" w:cs="宋体"/>
        </w:rPr>
      </w:pPr>
      <w:bookmarkStart w:id="16" w:name="_Toc13881"/>
      <w:r>
        <w:rPr>
          <w:rFonts w:hint="eastAsia" w:ascii="宋体" w:hAnsi="宋体" w:eastAsia="宋体" w:cs="宋体"/>
        </w:rPr>
        <w:t>第九条、合同解除</w:t>
      </w:r>
      <w:bookmarkEnd w:id="16"/>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（一）如果乙方有下述任何一种违约行为或《合同条款》中规定的其它违约行为，在不妨碍甲方采取其它救济手段的情况下，甲方可以向乙方发出书面违约通知，全部或部分地解除合同。</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1、乙方未能按合同规定的期限交付系统和/或提供相关的服务及技术资料；</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2、乙方未能使规划方案达到相应合同附件规定的技术性能和保证指标；</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3、乙方未能履行合同项下任何其它义务，并且在收到甲方违约通知后未能按通知所规定的期限对其违约行为作出补救；</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4、乙方在项目实施过程中未经甲方书面同意将项目的全部或部分转让、转包或分包给第三方公司或个人。</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（二）如果一方破产或发生资不抵债的情况,合同另一方有权在任何时候发出书面通知解除合同。此种情况下合同的解除不妨碍或影响行使任何可能的其它救济手段。</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（三）如果甲方认定乙方在竞标或执行合同中有腐败或欺诈行为, 甲方有权在任何时候发出书面通知解除合同。 </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1、“腐败行为”系指在招标、采购和合同执行等过程中，为谋求利益、影响相关人员而提供、给予、接受或索取任何有价物的行为。</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欺诈行为”系指为了影响招标、采购和合同执行等过程而隐瞒事实，从而给甲方造成损害的行为，其中包括供应商之间的串通行为，其旨在使投标价成为人为的、无竞争的价格，并使甲方无法从自由公开的竞争中受益。</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（四）如果甲方行使解除合同的权利，甲方有权停付合同款，并有权将在执行合同中预付给乙方的款项索回，并有权要求乙方赔偿由此产生的直接经济损失。</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五）若（二）和（三）考虑的情况确实发生，甲方有权从乙方手中将与“项目”有关的工作接管并收归己有，乙方应给甲方提供全权处理并提供一切合理的方便，甲方对这种终止合同直接或间接引起的对乙方的任何索赔不承担责任。</w:t>
      </w:r>
    </w:p>
    <w:p>
      <w:pPr>
        <w:pStyle w:val="4"/>
        <w:keepNext/>
        <w:keepLines/>
        <w:pageBreakBefore w:val="0"/>
        <w:widowControl w:val="0"/>
        <w:kinsoku/>
        <w:wordWrap/>
        <w:overflowPunct/>
        <w:topLinePunct w:val="0"/>
        <w:autoSpaceDE/>
        <w:autoSpaceDN/>
        <w:bidi w:val="0"/>
        <w:adjustRightInd/>
        <w:snapToGrid/>
        <w:spacing w:before="0" w:beforeLines="0" w:after="0" w:afterLines="0"/>
        <w:ind w:left="0" w:leftChars="0" w:firstLine="0" w:firstLineChars="0"/>
        <w:jc w:val="both"/>
        <w:textAlignment w:val="auto"/>
        <w:rPr>
          <w:rFonts w:hint="eastAsia" w:ascii="宋体" w:hAnsi="宋体" w:eastAsia="宋体" w:cs="宋体"/>
        </w:rPr>
      </w:pPr>
      <w:bookmarkStart w:id="17" w:name="_Toc3586"/>
      <w:r>
        <w:rPr>
          <w:rFonts w:hint="eastAsia" w:ascii="宋体" w:hAnsi="宋体" w:eastAsia="宋体" w:cs="宋体"/>
        </w:rPr>
        <w:t>第十条、争议解决方式</w:t>
      </w:r>
      <w:bookmarkEnd w:id="17"/>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因履行本合同发生的争议，由甲方和乙方协商解决，协商不成的，任何一方均可向甲方住所地人民法院提起诉讼，通过诉讼途径解决。</w:t>
      </w:r>
    </w:p>
    <w:p>
      <w:pPr>
        <w:pStyle w:val="4"/>
        <w:keepNext/>
        <w:keepLines/>
        <w:pageBreakBefore w:val="0"/>
        <w:widowControl w:val="0"/>
        <w:kinsoku/>
        <w:wordWrap/>
        <w:overflowPunct/>
        <w:topLinePunct w:val="0"/>
        <w:autoSpaceDE/>
        <w:autoSpaceDN/>
        <w:bidi w:val="0"/>
        <w:adjustRightInd/>
        <w:snapToGrid/>
        <w:spacing w:before="0" w:beforeLines="0" w:after="0" w:afterLines="0"/>
        <w:ind w:left="0" w:leftChars="0" w:firstLine="0" w:firstLineChars="0"/>
        <w:jc w:val="both"/>
        <w:textAlignment w:val="auto"/>
        <w:rPr>
          <w:rFonts w:hint="eastAsia" w:ascii="宋体" w:hAnsi="宋体" w:eastAsia="宋体" w:cs="宋体"/>
        </w:rPr>
      </w:pPr>
      <w:bookmarkStart w:id="18" w:name="_Toc23501"/>
      <w:r>
        <w:rPr>
          <w:rFonts w:hint="eastAsia" w:ascii="宋体" w:hAnsi="宋体" w:eastAsia="宋体" w:cs="宋体"/>
        </w:rPr>
        <w:t>第十一条、合同组成及生效</w:t>
      </w:r>
      <w:bookmarkEnd w:id="18"/>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（一）合同组成</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1、甲方与乙方签署的合同中的所有条款；</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2、成交通知书；</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单一来源谈判</w:t>
      </w:r>
      <w:r>
        <w:rPr>
          <w:rFonts w:hint="eastAsia" w:ascii="宋体" w:hAnsi="宋体" w:eastAsia="宋体" w:cs="宋体"/>
          <w:sz w:val="24"/>
          <w:szCs w:val="24"/>
        </w:rPr>
        <w:t>文件及澄清（如有）</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单一来源谈判</w:t>
      </w:r>
      <w:r>
        <w:rPr>
          <w:rFonts w:hint="eastAsia" w:ascii="宋体" w:hAnsi="宋体" w:eastAsia="宋体" w:cs="宋体"/>
          <w:sz w:val="24"/>
          <w:szCs w:val="24"/>
        </w:rPr>
        <w:t>响应文件及澄清（如有）</w:t>
      </w:r>
    </w:p>
    <w:p>
      <w:pPr>
        <w:pageBreakBefore w:val="0"/>
        <w:tabs>
          <w:tab w:val="left" w:pos="480"/>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（二）本合同一式</w:t>
      </w:r>
      <w:r>
        <w:rPr>
          <w:rFonts w:hint="eastAsia" w:ascii="宋体" w:hAnsi="宋体" w:eastAsia="宋体" w:cs="宋体"/>
          <w:b/>
          <w:sz w:val="24"/>
          <w:szCs w:val="24"/>
          <w:u w:val="single"/>
          <w:lang w:val="en-US" w:eastAsia="zh-CN"/>
        </w:rPr>
        <w:t xml:space="preserve">    </w:t>
      </w:r>
      <w:r>
        <w:rPr>
          <w:rFonts w:hint="eastAsia" w:ascii="宋体" w:hAnsi="宋体" w:eastAsia="宋体" w:cs="宋体"/>
          <w:sz w:val="24"/>
          <w:szCs w:val="24"/>
        </w:rPr>
        <w:t>份，甲方持</w:t>
      </w:r>
      <w:r>
        <w:rPr>
          <w:rFonts w:hint="eastAsia" w:ascii="宋体" w:hAnsi="宋体" w:eastAsia="宋体" w:cs="宋体"/>
          <w:b/>
          <w:sz w:val="24"/>
          <w:szCs w:val="24"/>
          <w:u w:val="single"/>
          <w:lang w:val="en-US" w:eastAsia="zh-CN"/>
        </w:rPr>
        <w:t xml:space="preserve">   </w:t>
      </w:r>
      <w:r>
        <w:rPr>
          <w:rFonts w:hint="eastAsia" w:ascii="宋体" w:hAnsi="宋体" w:eastAsia="宋体" w:cs="宋体"/>
          <w:sz w:val="24"/>
          <w:szCs w:val="24"/>
        </w:rPr>
        <w:t>份，乙方持</w:t>
      </w:r>
      <w:r>
        <w:rPr>
          <w:rFonts w:hint="eastAsia" w:ascii="宋体" w:hAnsi="宋体" w:eastAsia="宋体" w:cs="宋体"/>
          <w:b/>
          <w:sz w:val="24"/>
          <w:szCs w:val="24"/>
          <w:u w:val="single"/>
          <w:lang w:val="en-US" w:eastAsia="zh-CN"/>
        </w:rPr>
        <w:t xml:space="preserve">   </w:t>
      </w:r>
      <w:r>
        <w:rPr>
          <w:rFonts w:hint="eastAsia" w:ascii="宋体" w:hAnsi="宋体" w:eastAsia="宋体" w:cs="宋体"/>
          <w:sz w:val="24"/>
          <w:szCs w:val="24"/>
        </w:rPr>
        <w:t>份，甲乙双方签字盖章后生效。</w:t>
      </w:r>
    </w:p>
    <w:tbl>
      <w:tblPr>
        <w:tblStyle w:val="12"/>
        <w:tblW w:w="90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400"/>
        <w:gridCol w:w="46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2" w:hRule="exact"/>
          <w:jc w:val="center"/>
        </w:trPr>
        <w:tc>
          <w:tcPr>
            <w:tcW w:w="4400" w:type="dxa"/>
            <w:tcBorders>
              <w:tl2br w:val="nil"/>
              <w:tr2bl w:val="nil"/>
            </w:tcBorders>
            <w:noWrap w:val="0"/>
            <w:tcMar>
              <w:left w:w="0" w:type="dxa"/>
              <w:right w:w="0" w:type="dxa"/>
            </w:tcMar>
            <w:vAlign w:val="center"/>
          </w:tcPr>
          <w:p>
            <w:pPr>
              <w:pageBreakBefore w:val="0"/>
              <w:kinsoku/>
              <w:wordWrap/>
              <w:overflowPunct/>
              <w:topLinePunct w:val="0"/>
              <w:autoSpaceDE w:val="0"/>
              <w:autoSpaceDN w:val="0"/>
              <w:bidi w:val="0"/>
              <w:adjustRightInd w:val="0"/>
              <w:spacing w:line="360" w:lineRule="auto"/>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甲方：</w:t>
            </w:r>
          </w:p>
          <w:p>
            <w:pPr>
              <w:pageBreakBefore w:val="0"/>
              <w:kinsoku/>
              <w:wordWrap/>
              <w:overflowPunct/>
              <w:topLinePunct w:val="0"/>
              <w:autoSpaceDE w:val="0"/>
              <w:autoSpaceDN w:val="0"/>
              <w:bidi w:val="0"/>
              <w:adjustRightInd w:val="0"/>
              <w:spacing w:line="360" w:lineRule="auto"/>
              <w:ind w:firstLine="2880" w:firstLineChars="1200"/>
              <w:textAlignment w:val="auto"/>
              <w:rPr>
                <w:rFonts w:hint="eastAsia" w:ascii="宋体" w:hAnsi="宋体" w:eastAsia="宋体" w:cs="宋体"/>
                <w:b/>
                <w:kern w:val="0"/>
                <w:sz w:val="24"/>
                <w:szCs w:val="24"/>
              </w:rPr>
            </w:pPr>
            <w:r>
              <w:rPr>
                <w:rFonts w:hint="eastAsia" w:ascii="宋体" w:hAnsi="宋体" w:eastAsia="宋体" w:cs="宋体"/>
                <w:color w:val="000000"/>
                <w:kern w:val="0"/>
                <w:sz w:val="24"/>
                <w:szCs w:val="24"/>
              </w:rPr>
              <w:t>（盖章）</w:t>
            </w:r>
          </w:p>
        </w:tc>
        <w:tc>
          <w:tcPr>
            <w:tcW w:w="4680" w:type="dxa"/>
            <w:tcBorders>
              <w:tl2br w:val="nil"/>
              <w:tr2bl w:val="nil"/>
            </w:tcBorders>
            <w:noWrap w:val="0"/>
            <w:tcMar>
              <w:left w:w="0" w:type="dxa"/>
              <w:right w:w="0" w:type="dxa"/>
            </w:tcMar>
            <w:vAlign w:val="center"/>
          </w:tcPr>
          <w:p>
            <w:pPr>
              <w:pageBreakBefore w:val="0"/>
              <w:kinsoku/>
              <w:wordWrap/>
              <w:overflowPunct/>
              <w:topLinePunct w:val="0"/>
              <w:autoSpaceDE w:val="0"/>
              <w:autoSpaceDN w:val="0"/>
              <w:bidi w:val="0"/>
              <w:adjustRightInd w:val="0"/>
              <w:spacing w:line="360" w:lineRule="auto"/>
              <w:jc w:val="left"/>
              <w:textAlignment w:val="auto"/>
              <w:rPr>
                <w:rFonts w:hint="eastAsia" w:ascii="宋体" w:hAnsi="宋体" w:eastAsia="宋体" w:cs="宋体"/>
                <w:b/>
                <w:kern w:val="0"/>
                <w:sz w:val="24"/>
                <w:szCs w:val="24"/>
                <w:u w:val="none"/>
              </w:rPr>
            </w:pPr>
            <w:r>
              <w:rPr>
                <w:rFonts w:hint="eastAsia" w:ascii="宋体" w:hAnsi="宋体" w:eastAsia="宋体" w:cs="宋体"/>
                <w:b/>
                <w:kern w:val="0"/>
                <w:sz w:val="24"/>
                <w:szCs w:val="24"/>
              </w:rPr>
              <w:t>乙方：</w:t>
            </w: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color w:val="000000"/>
                <w:kern w:val="0"/>
                <w:sz w:val="24"/>
                <w:szCs w:val="24"/>
              </w:rPr>
              <w:t>（盖章）</w:t>
            </w:r>
          </w:p>
          <w:p>
            <w:pPr>
              <w:pageBreakBefore w:val="0"/>
              <w:kinsoku/>
              <w:wordWrap/>
              <w:overflowPunct/>
              <w:topLinePunct w:val="0"/>
              <w:autoSpaceDE w:val="0"/>
              <w:autoSpaceDN w:val="0"/>
              <w:bidi w:val="0"/>
              <w:adjustRightInd w:val="0"/>
              <w:spacing w:line="360" w:lineRule="auto"/>
              <w:ind w:firstLine="3360" w:firstLineChars="1400"/>
              <w:textAlignment w:val="auto"/>
              <w:rPr>
                <w:rFonts w:hint="eastAsia" w:ascii="宋体" w:hAnsi="宋体" w:eastAsia="宋体" w:cs="宋体"/>
                <w:b/>
                <w:kern w:val="0"/>
                <w:sz w:val="24"/>
                <w:szCs w:val="24"/>
              </w:rPr>
            </w:pPr>
            <w:r>
              <w:rPr>
                <w:rFonts w:hint="eastAsia" w:ascii="宋体" w:hAnsi="宋体" w:eastAsia="宋体" w:cs="宋体"/>
                <w:color w:val="000000"/>
                <w:kern w:val="0"/>
                <w:sz w:val="24"/>
                <w:szCs w:val="24"/>
              </w:rPr>
              <w:t>（盖章）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400" w:type="dxa"/>
            <w:tcBorders>
              <w:tl2br w:val="nil"/>
              <w:tr2bl w:val="nil"/>
            </w:tcBorders>
            <w:noWrap w:val="0"/>
            <w:vAlign w:val="center"/>
          </w:tcPr>
          <w:p>
            <w:pPr>
              <w:pageBreakBefore w:val="0"/>
              <w:kinsoku/>
              <w:wordWrap/>
              <w:overflowPunct/>
              <w:topLinePunct w:val="0"/>
              <w:autoSpaceDE w:val="0"/>
              <w:autoSpaceDN w:val="0"/>
              <w:bidi w:val="0"/>
              <w:adjustRightInd w:val="0"/>
              <w:spacing w:line="360" w:lineRule="auto"/>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地址：</w:t>
            </w:r>
          </w:p>
        </w:tc>
        <w:tc>
          <w:tcPr>
            <w:tcW w:w="4680" w:type="dxa"/>
            <w:tcBorders>
              <w:tl2br w:val="nil"/>
              <w:tr2bl w:val="nil"/>
            </w:tcBorders>
            <w:noWrap w:val="0"/>
            <w:vAlign w:val="center"/>
          </w:tcPr>
          <w:p>
            <w:pPr>
              <w:pageBreakBefore w:val="0"/>
              <w:kinsoku/>
              <w:wordWrap/>
              <w:overflowPunct/>
              <w:topLinePunct w:val="0"/>
              <w:autoSpaceDE w:val="0"/>
              <w:autoSpaceDN w:val="0"/>
              <w:bidi w:val="0"/>
              <w:adjustRightInd w:val="0"/>
              <w:spacing w:line="360" w:lineRule="auto"/>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400" w:type="dxa"/>
            <w:tcBorders>
              <w:tl2br w:val="nil"/>
              <w:tr2bl w:val="nil"/>
            </w:tcBorders>
            <w:noWrap w:val="0"/>
            <w:vAlign w:val="center"/>
          </w:tcPr>
          <w:p>
            <w:pPr>
              <w:pageBreakBefore w:val="0"/>
              <w:kinsoku/>
              <w:wordWrap/>
              <w:overflowPunct/>
              <w:topLinePunct w:val="0"/>
              <w:autoSpaceDE w:val="0"/>
              <w:autoSpaceDN w:val="0"/>
              <w:bidi w:val="0"/>
              <w:adjustRightInd w:val="0"/>
              <w:spacing w:line="360" w:lineRule="auto"/>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邮编：</w:t>
            </w:r>
          </w:p>
        </w:tc>
        <w:tc>
          <w:tcPr>
            <w:tcW w:w="4680" w:type="dxa"/>
            <w:tcBorders>
              <w:tl2br w:val="nil"/>
              <w:tr2bl w:val="nil"/>
            </w:tcBorders>
            <w:noWrap w:val="0"/>
            <w:vAlign w:val="center"/>
          </w:tcPr>
          <w:p>
            <w:pPr>
              <w:pageBreakBefore w:val="0"/>
              <w:kinsoku/>
              <w:wordWrap/>
              <w:overflowPunct/>
              <w:topLinePunct w:val="0"/>
              <w:autoSpaceDE w:val="0"/>
              <w:autoSpaceDN w:val="0"/>
              <w:bidi w:val="0"/>
              <w:adjustRightInd w:val="0"/>
              <w:spacing w:line="360" w:lineRule="auto"/>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邮编：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7" w:hRule="exact"/>
          <w:jc w:val="center"/>
        </w:trPr>
        <w:tc>
          <w:tcPr>
            <w:tcW w:w="4400" w:type="dxa"/>
            <w:tcBorders>
              <w:tl2br w:val="nil"/>
              <w:tr2bl w:val="nil"/>
            </w:tcBorders>
            <w:noWrap w:val="0"/>
            <w:vAlign w:val="center"/>
          </w:tcPr>
          <w:p>
            <w:pPr>
              <w:pageBreakBefore w:val="0"/>
              <w:kinsoku/>
              <w:wordWrap/>
              <w:overflowPunct/>
              <w:topLinePunct w:val="0"/>
              <w:autoSpaceDE w:val="0"/>
              <w:autoSpaceDN w:val="0"/>
              <w:bidi w:val="0"/>
              <w:adjustRightInd w:val="0"/>
              <w:spacing w:line="360" w:lineRule="auto"/>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法定代表人：</w:t>
            </w:r>
          </w:p>
        </w:tc>
        <w:tc>
          <w:tcPr>
            <w:tcW w:w="4680" w:type="dxa"/>
            <w:tcBorders>
              <w:tl2br w:val="nil"/>
              <w:tr2bl w:val="nil"/>
            </w:tcBorders>
            <w:noWrap w:val="0"/>
            <w:vAlign w:val="center"/>
          </w:tcPr>
          <w:p>
            <w:pPr>
              <w:pageBreakBefore w:val="0"/>
              <w:kinsoku/>
              <w:wordWrap/>
              <w:overflowPunct/>
              <w:topLinePunct w:val="0"/>
              <w:autoSpaceDE w:val="0"/>
              <w:autoSpaceDN w:val="0"/>
              <w:bidi w:val="0"/>
              <w:adjustRightInd w:val="0"/>
              <w:spacing w:line="360" w:lineRule="auto"/>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法定代表人：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7" w:hRule="exact"/>
          <w:jc w:val="center"/>
        </w:trPr>
        <w:tc>
          <w:tcPr>
            <w:tcW w:w="4400" w:type="dxa"/>
            <w:tcBorders>
              <w:tl2br w:val="nil"/>
              <w:tr2bl w:val="nil"/>
            </w:tcBorders>
            <w:noWrap w:val="0"/>
            <w:vAlign w:val="center"/>
          </w:tcPr>
          <w:p>
            <w:pPr>
              <w:pageBreakBefore w:val="0"/>
              <w:kinsoku/>
              <w:wordWrap/>
              <w:overflowPunct/>
              <w:topLinePunct w:val="0"/>
              <w:autoSpaceDE w:val="0"/>
              <w:autoSpaceDN w:val="0"/>
              <w:bidi w:val="0"/>
              <w:adjustRightInd w:val="0"/>
              <w:spacing w:line="360" w:lineRule="auto"/>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被授权代表：（签字）</w:t>
            </w:r>
          </w:p>
        </w:tc>
        <w:tc>
          <w:tcPr>
            <w:tcW w:w="4680" w:type="dxa"/>
            <w:tcBorders>
              <w:tl2br w:val="nil"/>
              <w:tr2bl w:val="nil"/>
            </w:tcBorders>
            <w:noWrap w:val="0"/>
            <w:vAlign w:val="center"/>
          </w:tcPr>
          <w:p>
            <w:pPr>
              <w:pageBreakBefore w:val="0"/>
              <w:kinsoku/>
              <w:wordWrap/>
              <w:overflowPunct/>
              <w:topLinePunct w:val="0"/>
              <w:autoSpaceDE w:val="0"/>
              <w:autoSpaceDN w:val="0"/>
              <w:bidi w:val="0"/>
              <w:adjustRightInd w:val="0"/>
              <w:spacing w:line="360" w:lineRule="auto"/>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被授权代表：（签字）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8" w:hRule="atLeast"/>
          <w:jc w:val="center"/>
        </w:trPr>
        <w:tc>
          <w:tcPr>
            <w:tcW w:w="4400" w:type="dxa"/>
            <w:tcBorders>
              <w:tl2br w:val="nil"/>
              <w:tr2bl w:val="nil"/>
            </w:tcBorders>
            <w:noWrap w:val="0"/>
            <w:vAlign w:val="center"/>
          </w:tcPr>
          <w:p>
            <w:pPr>
              <w:pageBreakBefore w:val="0"/>
              <w:kinsoku/>
              <w:wordWrap/>
              <w:overflowPunct/>
              <w:topLinePunct w:val="0"/>
              <w:autoSpaceDE w:val="0"/>
              <w:autoSpaceDN w:val="0"/>
              <w:bidi w:val="0"/>
              <w:adjustRightInd w:val="0"/>
              <w:spacing w:line="360" w:lineRule="auto"/>
              <w:jc w:val="both"/>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日期：           年    月    日</w:t>
            </w:r>
          </w:p>
        </w:tc>
        <w:tc>
          <w:tcPr>
            <w:tcW w:w="4680" w:type="dxa"/>
            <w:tcBorders>
              <w:tl2br w:val="nil"/>
              <w:tr2bl w:val="nil"/>
            </w:tcBorders>
            <w:noWrap w:val="0"/>
            <w:vAlign w:val="center"/>
          </w:tcPr>
          <w:p>
            <w:pPr>
              <w:pageBreakBefore w:val="0"/>
              <w:kinsoku/>
              <w:wordWrap/>
              <w:overflowPunct/>
              <w:topLinePunct w:val="0"/>
              <w:autoSpaceDE w:val="0"/>
              <w:autoSpaceDN w:val="0"/>
              <w:bidi w:val="0"/>
              <w:adjustRightInd w:val="0"/>
              <w:spacing w:line="360" w:lineRule="auto"/>
              <w:jc w:val="both"/>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日期：     年    月    日</w:t>
            </w:r>
          </w:p>
        </w:tc>
      </w:tr>
    </w:tbl>
    <w:p>
      <w:pPr>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p>
    <w:bookmarkEnd w:id="19"/>
    <w:sectPr>
      <w:head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2000000000000000000"/>
    <w:charset w:val="86"/>
    <w:family w:val="auto"/>
    <w:pitch w:val="default"/>
    <w:sig w:usb0="00000001" w:usb1="0800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74" w:lineRule="auto"/>
      <w:rPr>
        <w:sz w:val="18"/>
        <w:szCs w:val="18"/>
      </w:rPr>
    </w:pPr>
    <w: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108585</wp:posOffset>
              </wp:positionV>
              <wp:extent cx="5943600" cy="5080"/>
              <wp:effectExtent l="0" t="0" r="0" b="0"/>
              <wp:wrapNone/>
              <wp:docPr id="1" name="矩形 1"/>
              <wp:cNvGraphicFramePr/>
              <a:graphic xmlns:a="http://schemas.openxmlformats.org/drawingml/2006/main">
                <a:graphicData uri="http://schemas.microsoft.com/office/word/2010/wordprocessingShape">
                  <wps:wsp>
                    <wps:cNvSpPr/>
                    <wps:spPr>
                      <a:xfrm>
                        <a:off x="0" y="0"/>
                        <a:ext cx="5943600" cy="5080"/>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0pt;margin-top:8.55pt;height:0.4pt;width:468pt;z-index:251659264;mso-width-relative:page;mso-height-relative:page;" fillcolor="#000000" filled="t" stroked="f" coordsize="21600,21600" o:gfxdata="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avbMI1QAA&#10;AAYBAAAPAAAAAAAAAAEAIAAAACIAAABkcnMvZG93bnJldi54bWxQSwECFAAUAAAACACHTuJAJlU5&#10;Cq8BAABdAwAADgAAAAAAAAABACAAAAAkAQAAZHJzL2Uyb0RvYy54bWxQSwUGAAAAAAYABgBZAQAA&#10;RQUAAAAA&#10;">
              <v:fill on="t" focussize="0,0"/>
              <v:stroke on="f"/>
              <v:imagedata o:title=""/>
              <o:lock v:ext="edit" aspectratio="f"/>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s>
  <w:rsids>
    <w:rsidRoot w:val="7B4E5464"/>
    <w:rsid w:val="013C690E"/>
    <w:rsid w:val="01B6221C"/>
    <w:rsid w:val="041517C6"/>
    <w:rsid w:val="05D874A1"/>
    <w:rsid w:val="064630EF"/>
    <w:rsid w:val="06E567CC"/>
    <w:rsid w:val="0BC3220A"/>
    <w:rsid w:val="0C9C45A4"/>
    <w:rsid w:val="0F0767AD"/>
    <w:rsid w:val="0F704352"/>
    <w:rsid w:val="11692E07"/>
    <w:rsid w:val="13DF6C1A"/>
    <w:rsid w:val="160C28FB"/>
    <w:rsid w:val="172123D6"/>
    <w:rsid w:val="1A44262D"/>
    <w:rsid w:val="1B884F5A"/>
    <w:rsid w:val="1BBB6955"/>
    <w:rsid w:val="1D7A3220"/>
    <w:rsid w:val="1D921938"/>
    <w:rsid w:val="1F5C21FD"/>
    <w:rsid w:val="1F925C1F"/>
    <w:rsid w:val="1FB43DE7"/>
    <w:rsid w:val="200A3A07"/>
    <w:rsid w:val="24277076"/>
    <w:rsid w:val="25A94D83"/>
    <w:rsid w:val="26461511"/>
    <w:rsid w:val="269F0C21"/>
    <w:rsid w:val="27BD3A55"/>
    <w:rsid w:val="2CD51841"/>
    <w:rsid w:val="2DA336ED"/>
    <w:rsid w:val="32F347CF"/>
    <w:rsid w:val="33BD5E67"/>
    <w:rsid w:val="35F8389A"/>
    <w:rsid w:val="37021484"/>
    <w:rsid w:val="37E52144"/>
    <w:rsid w:val="390F7EC1"/>
    <w:rsid w:val="39E84962"/>
    <w:rsid w:val="3A856D10"/>
    <w:rsid w:val="3B0B653D"/>
    <w:rsid w:val="3C197478"/>
    <w:rsid w:val="3C7C3A87"/>
    <w:rsid w:val="3CD531CB"/>
    <w:rsid w:val="408C234E"/>
    <w:rsid w:val="40D741AF"/>
    <w:rsid w:val="4169225E"/>
    <w:rsid w:val="45156827"/>
    <w:rsid w:val="469A5235"/>
    <w:rsid w:val="46DC584E"/>
    <w:rsid w:val="493D634C"/>
    <w:rsid w:val="4B013AD5"/>
    <w:rsid w:val="4B7353A1"/>
    <w:rsid w:val="4DAE5A6A"/>
    <w:rsid w:val="52F061DD"/>
    <w:rsid w:val="53692CAC"/>
    <w:rsid w:val="537D3F15"/>
    <w:rsid w:val="56804917"/>
    <w:rsid w:val="56F87D3A"/>
    <w:rsid w:val="57DB1539"/>
    <w:rsid w:val="581806B0"/>
    <w:rsid w:val="583C439E"/>
    <w:rsid w:val="5D373386"/>
    <w:rsid w:val="5D83481E"/>
    <w:rsid w:val="5E2F1AE1"/>
    <w:rsid w:val="5EB15565"/>
    <w:rsid w:val="62E21FE6"/>
    <w:rsid w:val="699F29DF"/>
    <w:rsid w:val="6A721EA2"/>
    <w:rsid w:val="6B2F6F8A"/>
    <w:rsid w:val="6F3911E0"/>
    <w:rsid w:val="70363BFB"/>
    <w:rsid w:val="740C0C71"/>
    <w:rsid w:val="74580DC3"/>
    <w:rsid w:val="74640AAD"/>
    <w:rsid w:val="774B7723"/>
    <w:rsid w:val="78170104"/>
    <w:rsid w:val="79346574"/>
    <w:rsid w:val="7A923E9A"/>
    <w:rsid w:val="7B4E5464"/>
    <w:rsid w:val="7C7049AF"/>
    <w:rsid w:val="7CD95DB0"/>
    <w:rsid w:val="7D6C45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99"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autoRedefine/>
    <w:qFormat/>
    <w:uiPriority w:val="0"/>
    <w:pPr>
      <w:keepNext/>
      <w:outlineLvl w:val="0"/>
    </w:pPr>
    <w:rPr>
      <w:rFonts w:ascii="仿宋_GB2312" w:hAnsi="宋体" w:eastAsia="仿宋_GB2312"/>
      <w:b/>
      <w:kern w:val="2"/>
      <w:sz w:val="32"/>
    </w:rPr>
  </w:style>
  <w:style w:type="paragraph" w:styleId="4">
    <w:name w:val="heading 2"/>
    <w:basedOn w:val="1"/>
    <w:next w:val="5"/>
    <w:autoRedefine/>
    <w:qFormat/>
    <w:uiPriority w:val="9"/>
    <w:pPr>
      <w:keepNext/>
      <w:keepLines/>
      <w:widowControl/>
      <w:spacing w:before="20" w:beforeLines="0" w:after="20" w:afterLines="0" w:line="360" w:lineRule="auto"/>
      <w:ind w:left="284"/>
      <w:jc w:val="left"/>
      <w:outlineLvl w:val="1"/>
    </w:pPr>
    <w:rPr>
      <w:rFonts w:ascii="Arial" w:hAnsi="Arial" w:eastAsia="仿宋"/>
      <w:b/>
      <w:bCs/>
      <w:sz w:val="28"/>
      <w:szCs w:val="32"/>
    </w:rPr>
  </w:style>
  <w:style w:type="paragraph" w:styleId="6">
    <w:name w:val="heading 3"/>
    <w:basedOn w:val="1"/>
    <w:next w:val="1"/>
    <w:link w:val="15"/>
    <w:autoRedefine/>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customStyle="1" w:styleId="2">
    <w:name w:val="Message Header1"/>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5">
    <w:name w:val="Normal Indent"/>
    <w:basedOn w:val="1"/>
    <w:autoRedefine/>
    <w:qFormat/>
    <w:uiPriority w:val="0"/>
    <w:pPr>
      <w:spacing w:line="300" w:lineRule="auto"/>
      <w:ind w:firstLine="420" w:firstLineChars="200"/>
    </w:pPr>
    <w:rPr>
      <w:rFonts w:ascii="Times New Roman"/>
      <w:kern w:val="2"/>
      <w:sz w:val="21"/>
      <w:szCs w:val="24"/>
    </w:rPr>
  </w:style>
  <w:style w:type="paragraph" w:styleId="7">
    <w:name w:val="Body Text"/>
    <w:basedOn w:val="1"/>
    <w:autoRedefine/>
    <w:qFormat/>
    <w:uiPriority w:val="0"/>
    <w:pPr>
      <w:spacing w:after="120" w:afterLines="0"/>
    </w:pPr>
    <w:rPr>
      <w:rFonts w:ascii="Times New Roman"/>
      <w:kern w:val="2"/>
      <w:sz w:val="21"/>
    </w:rPr>
  </w:style>
  <w:style w:type="paragraph" w:styleId="8">
    <w:name w:val="footer"/>
    <w:basedOn w:val="1"/>
    <w:autoRedefine/>
    <w:qFormat/>
    <w:uiPriority w:val="99"/>
    <w:pPr>
      <w:tabs>
        <w:tab w:val="center" w:pos="4153"/>
        <w:tab w:val="right" w:pos="8306"/>
      </w:tabs>
      <w:snapToGrid w:val="0"/>
      <w:jc w:val="left"/>
    </w:pPr>
    <w:rPr>
      <w:rFonts w:ascii="Times New Roman"/>
      <w:kern w:val="2"/>
      <w:sz w:val="18"/>
      <w:szCs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index 7"/>
    <w:basedOn w:val="1"/>
    <w:next w:val="1"/>
    <w:autoRedefine/>
    <w:qFormat/>
    <w:uiPriority w:val="99"/>
    <w:pPr>
      <w:ind w:left="2520"/>
    </w:pPr>
    <w:rPr>
      <w:rFonts w:ascii="黑体" w:hAnsi="Calibri" w:eastAsia="黑体"/>
      <w:kern w:val="2"/>
      <w:sz w:val="32"/>
      <w:szCs w:val="32"/>
    </w:rPr>
  </w:style>
  <w:style w:type="paragraph" w:styleId="11">
    <w:name w:val="Normal (Web)"/>
    <w:basedOn w:val="1"/>
    <w:next w:val="10"/>
    <w:autoRedefine/>
    <w:qFormat/>
    <w:uiPriority w:val="99"/>
    <w:pPr>
      <w:widowControl/>
      <w:spacing w:before="100" w:beforeAutospacing="1" w:after="100" w:afterAutospacing="1"/>
      <w:jc w:val="left"/>
    </w:pPr>
    <w:rPr>
      <w:rFonts w:ascii="宋体" w:hAnsi="宋体" w:cs="宋体"/>
      <w:sz w:val="24"/>
      <w:szCs w:val="24"/>
    </w:rPr>
  </w:style>
  <w:style w:type="paragraph" w:customStyle="1" w:styleId="14">
    <w:name w:val="Heading4"/>
    <w:basedOn w:val="1"/>
    <w:next w:val="1"/>
    <w:autoRedefine/>
    <w:qFormat/>
    <w:uiPriority w:val="0"/>
    <w:pPr>
      <w:keepNext/>
      <w:keepLines/>
      <w:spacing w:before="280" w:after="290" w:line="376" w:lineRule="atLeast"/>
      <w:jc w:val="both"/>
      <w:textAlignment w:val="baseline"/>
    </w:pPr>
    <w:rPr>
      <w:rFonts w:ascii="Arial" w:hAnsi="Arial"/>
      <w:b/>
      <w:spacing w:val="20"/>
      <w:kern w:val="2"/>
      <w:sz w:val="28"/>
      <w:szCs w:val="20"/>
      <w:lang w:val="en-US" w:eastAsia="zh-CN" w:bidi="ar-SA"/>
    </w:rPr>
  </w:style>
  <w:style w:type="character" w:customStyle="1" w:styleId="15">
    <w:name w:val="标题 3 Char"/>
    <w:link w:val="6"/>
    <w:autoRedefine/>
    <w:qFormat/>
    <w:uiPriority w:val="0"/>
    <w:rPr>
      <w:rFonts w:ascii="Times New Roman" w:hAnsi="Times New Roman" w:eastAsia="仿宋"/>
      <w:b/>
      <w:bCs/>
      <w:kern w:val="2"/>
      <w:sz w:val="24"/>
      <w:szCs w:val="24"/>
    </w:rPr>
  </w:style>
  <w:style w:type="table" w:customStyle="1" w:styleId="16">
    <w:name w:val="Table Normal"/>
    <w:autoRedefine/>
    <w:semiHidden/>
    <w:unhideWhenUsed/>
    <w:qFormat/>
    <w:uiPriority w:val="0"/>
    <w:tblPr>
      <w:tblCellMar>
        <w:top w:w="0" w:type="dxa"/>
        <w:left w:w="0" w:type="dxa"/>
        <w:bottom w:w="0" w:type="dxa"/>
        <w:right w:w="0" w:type="dxa"/>
      </w:tblCellMar>
    </w:tblPr>
  </w:style>
  <w:style w:type="paragraph" w:customStyle="1" w:styleId="17">
    <w:name w:val="Table Text"/>
    <w:basedOn w:val="1"/>
    <w:autoRedefine/>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3600</Words>
  <Characters>3628</Characters>
  <Lines>0</Lines>
  <Paragraphs>0</Paragraphs>
  <TotalTime>1</TotalTime>
  <ScaleCrop>false</ScaleCrop>
  <LinksUpToDate>false</LinksUpToDate>
  <CharactersWithSpaces>3781</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2023-08-18T06:14:00Z</dcterms:created>
  <dc:creator>？</dc:creator>
  <cp:lastModifiedBy>懛鰦</cp:lastModifiedBy>
  <dcterms:modified xsi:type="dcterms:W3CDTF">2025-05-15T09:29:27Z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FC240D69AAD24DA0810042197C34DE24_11</vt:lpwstr>
  </property>
  <property fmtid="{D5CDD505-2E9C-101B-9397-08002B2CF9AE}" pid="4" name="KSOTemplateDocerSaveRecord">
    <vt:lpwstr>eyJoZGlkIjoiOTcyZTNiZTIzMTFiYjc4MmExNzQ3MzFlOTI4NmYyYmEiLCJ1c2VySWQiOiIzODkzMjE1NzcifQ==</vt:lpwstr>
  </property>
</Properties>
</file>