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版本号：0617-2521HZ097520250507001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血检科国产梅毒检测试剂耗材(二次)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0617-2521HZ0975</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血检科国产梅毒检测试剂耗材(二次)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0617-2521HZ0975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血检科国产梅毒检测试剂耗材(二次)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血检科国产梅毒检测试剂耗材，1批。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029-85236579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采购包1：449,500.00元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2.缴费时间：确定中标人后3日内，由中标人向招标代理机构一次付清招标代理服务费。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血检科国产梅毒检测试剂耗材，1批。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449,500.00</w:t>
      </w:r>
    </w:p>
    <w:p>
      <w:pPr>
        <w:pStyle w:val="null3"/>
      </w:pPr>
      <w:r>
        <w:rPr>
          <w:rFonts w:ascii="仿宋_GB2312" w:hAnsi="仿宋_GB2312" w:cs="仿宋_GB2312" w:eastAsia="仿宋_GB2312"/>
        </w:rPr>
        <w:t>采购包最高限价（元）: 449,500.00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核酸血筛检测HBV标准物质 核酸血筛检测HCV标准物质 核酸血筛检测HIV标准物质 酶免血筛4合1检测标准物质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449,500.00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标的名称：核酸血筛检测HBV标准物质 核酸血筛检测HCV标准物质 核酸血筛检测HIV标准物质 酶免血筛4合1检测标准物质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货物名称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预算金额（元）</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sz w:val="21"/>
                    </w:rPr>
                    <w:t>血检科核酸血筛乙肝标准物质（核心产品）</w:t>
                  </w:r>
                </w:p>
              </w:tc>
              <w:tc>
                <w:tcPr>
                  <w:tcW w:type="dxa" w:w="511"/>
                </w:tcPr>
                <w:p>
                  <w:pPr>
                    <w:pStyle w:val="null3"/>
                    <w:jc w:val="center"/>
                  </w:pPr>
                  <w:r>
                    <w:rPr>
                      <w:rFonts w:ascii="仿宋_GB2312" w:hAnsi="仿宋_GB2312" w:cs="仿宋_GB2312" w:eastAsia="仿宋_GB2312"/>
                    </w:rPr>
                    <w:t>300</w:t>
                  </w:r>
                </w:p>
              </w:tc>
              <w:tc>
                <w:tcPr>
                  <w:tcW w:type="dxa" w:w="511"/>
                </w:tcPr>
                <w:p>
                  <w:pPr>
                    <w:pStyle w:val="null3"/>
                    <w:jc w:val="center"/>
                  </w:pPr>
                  <w:r>
                    <w:rPr>
                      <w:rFonts w:ascii="仿宋_GB2312" w:hAnsi="仿宋_GB2312" w:cs="仿宋_GB2312" w:eastAsia="仿宋_GB2312"/>
                    </w:rPr>
                    <w:t>支</w:t>
                  </w:r>
                </w:p>
              </w:tc>
              <w:tc>
                <w:tcPr>
                  <w:tcW w:type="dxa" w:w="511"/>
                </w:tcPr>
                <w:p>
                  <w:pPr>
                    <w:pStyle w:val="null3"/>
                    <w:jc w:val="center"/>
                  </w:pPr>
                  <w:r>
                    <w:rPr>
                      <w:rFonts w:ascii="仿宋_GB2312" w:hAnsi="仿宋_GB2312" w:cs="仿宋_GB2312" w:eastAsia="仿宋_GB2312"/>
                    </w:rPr>
                    <w:t>40500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sz w:val="21"/>
                    </w:rPr>
                    <w:t>血检科核酸血筛丙肝标准物质</w:t>
                  </w:r>
                </w:p>
              </w:tc>
              <w:tc>
                <w:tcPr>
                  <w:tcW w:type="dxa" w:w="511"/>
                </w:tcPr>
                <w:p>
                  <w:pPr>
                    <w:pStyle w:val="null3"/>
                    <w:jc w:val="center"/>
                  </w:pPr>
                  <w:r>
                    <w:rPr>
                      <w:rFonts w:ascii="仿宋_GB2312" w:hAnsi="仿宋_GB2312" w:cs="仿宋_GB2312" w:eastAsia="仿宋_GB2312"/>
                    </w:rPr>
                    <w:t>300</w:t>
                  </w:r>
                </w:p>
              </w:tc>
              <w:tc>
                <w:tcPr>
                  <w:tcW w:type="dxa" w:w="511"/>
                </w:tcPr>
                <w:p>
                  <w:pPr>
                    <w:pStyle w:val="null3"/>
                    <w:jc w:val="center"/>
                  </w:pPr>
                  <w:r>
                    <w:rPr>
                      <w:rFonts w:ascii="仿宋_GB2312" w:hAnsi="仿宋_GB2312" w:cs="仿宋_GB2312" w:eastAsia="仿宋_GB2312"/>
                    </w:rPr>
                    <w:t>支</w:t>
                  </w:r>
                </w:p>
              </w:tc>
              <w:tc>
                <w:tcPr>
                  <w:tcW w:type="dxa" w:w="511"/>
                </w:tcPr>
                <w:p>
                  <w:pPr>
                    <w:pStyle w:val="null3"/>
                    <w:jc w:val="center"/>
                  </w:pPr>
                  <w:r>
                    <w:rPr>
                      <w:rFonts w:ascii="仿宋_GB2312" w:hAnsi="仿宋_GB2312" w:cs="仿宋_GB2312" w:eastAsia="仿宋_GB2312"/>
                    </w:rPr>
                    <w:t>40500</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sz w:val="21"/>
                    </w:rPr>
                    <w:t>血检科核酸血筛艾滋标准物质</w:t>
                  </w:r>
                </w:p>
              </w:tc>
              <w:tc>
                <w:tcPr>
                  <w:tcW w:type="dxa" w:w="511"/>
                </w:tcPr>
                <w:p>
                  <w:pPr>
                    <w:pStyle w:val="null3"/>
                    <w:jc w:val="center"/>
                  </w:pPr>
                  <w:r>
                    <w:rPr>
                      <w:rFonts w:ascii="仿宋_GB2312" w:hAnsi="仿宋_GB2312" w:cs="仿宋_GB2312" w:eastAsia="仿宋_GB2312"/>
                    </w:rPr>
                    <w:t>300</w:t>
                  </w:r>
                </w:p>
              </w:tc>
              <w:tc>
                <w:tcPr>
                  <w:tcW w:type="dxa" w:w="511"/>
                </w:tcPr>
                <w:p>
                  <w:pPr>
                    <w:pStyle w:val="null3"/>
                    <w:jc w:val="center"/>
                  </w:pPr>
                  <w:r>
                    <w:rPr>
                      <w:rFonts w:ascii="仿宋_GB2312" w:hAnsi="仿宋_GB2312" w:cs="仿宋_GB2312" w:eastAsia="仿宋_GB2312"/>
                    </w:rPr>
                    <w:t>支</w:t>
                  </w:r>
                </w:p>
              </w:tc>
              <w:tc>
                <w:tcPr>
                  <w:tcW w:type="dxa" w:w="511"/>
                </w:tcPr>
                <w:p>
                  <w:pPr>
                    <w:pStyle w:val="null3"/>
                    <w:jc w:val="center"/>
                  </w:pPr>
                  <w:r>
                    <w:rPr>
                      <w:rFonts w:ascii="仿宋_GB2312" w:hAnsi="仿宋_GB2312" w:cs="仿宋_GB2312" w:eastAsia="仿宋_GB2312"/>
                    </w:rPr>
                    <w:t>40500</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sz w:val="21"/>
                    </w:rPr>
                    <w:t>血检科酶免血筛4合1标准物质</w:t>
                  </w:r>
                </w:p>
              </w:tc>
              <w:tc>
                <w:tcPr>
                  <w:tcW w:type="dxa" w:w="511"/>
                </w:tcPr>
                <w:p>
                  <w:pPr>
                    <w:pStyle w:val="null3"/>
                    <w:jc w:val="center"/>
                  </w:pPr>
                  <w:r>
                    <w:rPr>
                      <w:rFonts w:ascii="仿宋_GB2312" w:hAnsi="仿宋_GB2312" w:cs="仿宋_GB2312" w:eastAsia="仿宋_GB2312"/>
                    </w:rPr>
                    <w:t>900</w:t>
                  </w:r>
                </w:p>
              </w:tc>
              <w:tc>
                <w:tcPr>
                  <w:tcW w:type="dxa" w:w="511"/>
                </w:tcPr>
                <w:p>
                  <w:pPr>
                    <w:pStyle w:val="null3"/>
                    <w:jc w:val="center"/>
                  </w:pPr>
                  <w:r>
                    <w:rPr>
                      <w:rFonts w:ascii="仿宋_GB2312" w:hAnsi="仿宋_GB2312" w:cs="仿宋_GB2312" w:eastAsia="仿宋_GB2312"/>
                    </w:rPr>
                    <w:t>支</w:t>
                  </w:r>
                </w:p>
              </w:tc>
              <w:tc>
                <w:tcPr>
                  <w:tcW w:type="dxa" w:w="511"/>
                </w:tcPr>
                <w:p>
                  <w:pPr>
                    <w:pStyle w:val="null3"/>
                    <w:jc w:val="center"/>
                  </w:pPr>
                  <w:r>
                    <w:rPr>
                      <w:rFonts w:ascii="仿宋_GB2312" w:hAnsi="仿宋_GB2312" w:cs="仿宋_GB2312" w:eastAsia="仿宋_GB2312"/>
                    </w:rPr>
                    <w:t>243000</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sz w:val="21"/>
                    </w:rPr>
                    <w:t>血检科陕西省室间质评标本</w:t>
                  </w:r>
                </w:p>
              </w:tc>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套</w:t>
                  </w:r>
                </w:p>
              </w:tc>
              <w:tc>
                <w:tcPr>
                  <w:tcW w:type="dxa" w:w="511"/>
                </w:tcPr>
                <w:p>
                  <w:pPr>
                    <w:pStyle w:val="null3"/>
                    <w:jc w:val="center"/>
                  </w:pPr>
                  <w:r>
                    <w:rPr>
                      <w:rFonts w:ascii="仿宋_GB2312" w:hAnsi="仿宋_GB2312" w:cs="仿宋_GB2312" w:eastAsia="仿宋_GB2312"/>
                    </w:rPr>
                    <w:t>85000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 血检科核酸血筛乙肝标准物质（核心产品）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（1）浓度：200IU/ml；</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（2）容量：1ml/支；</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（3）储存温度：低温保存（≤-15°C）；</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（4）储存有效时间：≥12个月；</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（5）提供国家质量监督检验检疫总局批准的标准物质认定证书。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3. 血检科核酸血筛丙肝标准物质</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（1）浓度：200IU-1000IU /ml；</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（2）容量：1ml/支；</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（3）储存温度：低温保存（≤-15°C）；</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（4）储存有效时间：≥12个月；</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（5）提供国家质量监督检验检疫总局批准的标准物质认定证书。</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4. 血检科核酸血筛艾滋标准物质</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（1）浓度：1000IU /ml；</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（2）容量：1ml/支；</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（3）储存温度：低温保存（≤-15°C）；</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（4）储存有效时间：≥12个月；</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（5）提供国家质量监督检验检疫总局批准的标准物质认定证书。</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5. 血检科酶免血筛4合1标准物质</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（1）浓度： HBsAg（0.5IU/ml）、抗-HCV（2 NCU/ml）、抗-HIV（4 NCU/ml）、抗-TP（12mIU/ml）；</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（2）容量：3ml/支，每支包含上述四项标准物质；</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（3）储存温度：低温保存（≤-15°C）；</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（4）储存有效时间：≥12个月。</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（5）提供国家质量监督检验检疫总局批准的标准物质认定证书。</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6. 血检科陕西省室间质评标本</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（1）浓度： 每年根据需要对不同检测项目进行定制；</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（2）容量：血清学标本 2ml/支；核酸标本每支标本 3ml/支；ALT标本 0.5ml/支；</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数量：需满足全省地市血站和单采血浆站每年两次的室间质评，其中每家血站血清学标本不少于10支/次、核酸标本不少于10支/次、ALT标本不少于5支/次，每家单采血浆站血清学标本不少于10支/次、ALT标本不少于5支/次；</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（4）储存温度：低温保存（≤-15°C）；</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（5）储存有效时间：≥12个月。</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7.商务要求：</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（2）保质期：产品到交货地点的有效期大于6个月；</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（3）交货地点：西安市中心血站指定地点；</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（4）应保证低温保存产品的冷链运输符合国家规定；</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8.验收：按现行的国家标准或国家行政部门颁布的法律法规、规章制度以及相应的行业标准等进行货物验收，如发现质量问题应进行退换货。</w:t>
            </w:r>
          </w:p>
        </w:tc>
      </w:tr>
      <w:tr>
        <w:tc>
          <w:tcPr>
            <w:tcW w:type="dxa" w:w="2769"/>
          </w:tcPr>
          <w:p>
            <w:pPr>
              <w:pStyle w:val="null3"/>
            </w:pPr>
            <w:r>
              <w:rPr>
                <w:rFonts w:ascii="仿宋_GB2312" w:hAnsi="仿宋_GB2312" w:cs="仿宋_GB2312" w:eastAsia="仿宋_GB2312"/>
              </w:rPr>
              <w:t>39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 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 提供投标产品合法来源渠道证明，包括但不限于销售协议、代理协议、原厂授权或承诺书等。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