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版本号：XAZTBZFCG-2025-00120250520001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高中信息平台宣传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XAZTBZFCG-2025-001</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陕西国铁经营服务有限公司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陕西国铁经营服务有限公司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高中信息平台宣传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XAZTBZFCG-2025-001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高中信息平台宣传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在高中/中职学校投放的宣传大屏发布动态院校宣传信息。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采购包1（高中信息平台宣传）：属于专门面向中小企业采购。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磋商全过程，其中法定代表人直接参加磋商的，须出具法定代表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2、信誉：不得为“信用中国”网站(http://www.creditchina.gov.cn)列入“失信被执行人、税收违法黑名单、政府采购严重违法失信行为记录名单”的投标方；不得为中国政府采购网(http://www.ccgp.gov.cn)“政府采购严重违法失信行为记录名单”中的供应商</w:t>
      </w:r>
    </w:p>
    <w:p>
      <w:pPr>
        <w:pStyle w:val="null3"/>
      </w:pPr>
      <w:r>
        <w:rPr>
          <w:rFonts w:ascii="仿宋_GB2312" w:hAnsi="仿宋_GB2312" w:cs="仿宋_GB2312" w:eastAsia="仿宋_GB2312"/>
        </w:rPr>
        <w:t>3、本项目不接受联合体投标：本项目不接受联合体磋商，（投标主体为单一供应商，无需提供证明材料）</w:t>
      </w:r>
    </w:p>
    <w:p>
      <w:pPr>
        <w:pStyle w:val="null3"/>
      </w:pPr>
      <w:r>
        <w:rPr>
          <w:rFonts w:ascii="仿宋_GB2312" w:hAnsi="仿宋_GB2312" w:cs="仿宋_GB2312" w:eastAsia="仿宋_GB2312"/>
        </w:rPr>
        <w:t>4、是否面向中、小企业采购：本项目为专门面向中、小企业项目，供应商应为中型企业、小型企业或微型企业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西安铁路职业技术学院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18729399505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陕西国铁经营服务有限公司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陕西省西安市碑林区陕西省西安市碑林区友谊东路33号西安铁路局机关院内调度楼9楼101号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陈彦名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15229267500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说明：账户名称:西安市财政局预算单位实有资金财政代管账户 开户银行:中国建设银行股份有限公司西安莲湖路支行 银行账号:61001711100052518874-203033</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向采购代理机构缴纳招标代理服务费，招标代理费参照原国家计委颁布的《招标代理服务收费管理暂行办法》（计价格[2002]1980号）和国家发改委办公厅颁布的《国家发改委办公厅关于招标代理服务收费有关问题的通知》（发改办价格[2003]857号）的规定标准下浮20%收取代理服务费。 2.招标代理服务费的交纳方式：在领取成交通知书时按第一条的规定，向采购代理机构直接交纳服务费，采用银行转账方式一次性交纳。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陕西国铁经营服务有限公司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陕西国铁经营服务有限公司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陕西国铁经营服务有限公司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以系统后台数据和视频截图等为验收依据，在总计不少于140所高中/中职学校，通过图片，文字，视频等多种形式，在招生宣传的各重要时间节点，通过网络及时更新宣传内容，并在显示器上滚动播放。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联系电话：15229267500</w:t>
      </w:r>
    </w:p>
    <w:p>
      <w:pPr>
        <w:pStyle w:val="null3"/>
      </w:pPr>
      <w:r>
        <w:rPr>
          <w:rFonts w:ascii="仿宋_GB2312" w:hAnsi="仿宋_GB2312" w:cs="仿宋_GB2312" w:eastAsia="仿宋_GB2312"/>
        </w:rPr>
        <w:t>地址：西安市碑林区友谊东路与兴庆西路十字西北角铁路局高层裙楼二楼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在高中/中职学校投放的宣传大屏发布动态院校宣传信息。</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w:t>
      </w:r>
    </w:p>
    <w:p>
      <w:pPr>
        <w:pStyle w:val="null3"/>
      </w:pPr>
      <w:r>
        <w:rPr>
          <w:rFonts w:ascii="仿宋_GB2312" w:hAnsi="仿宋_GB2312" w:cs="仿宋_GB2312" w:eastAsia="仿宋_GB2312"/>
        </w:rPr>
        <w:t>采购包最高限价（元）: 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高中信息平台宣传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标的名称：高中信息平台宣传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一、服务内容</w:t>
            </w:r>
          </w:p>
          <w:p>
            <w:pPr>
              <w:pStyle w:val="null3"/>
              <w:ind w:firstLine="560"/>
              <w:jc w:val="both"/>
            </w:pPr>
            <w:r>
              <w:rPr>
                <w:rFonts w:ascii="仿宋_GB2312" w:hAnsi="仿宋_GB2312" w:cs="仿宋_GB2312" w:eastAsia="仿宋_GB2312"/>
                <w:sz w:val="28"/>
              </w:rPr>
              <w:t>宣传大屏需放置在教学区域显著位置，学生上下学、晚自习前后都能看到。宣传大屏发布内容需专人负责编辑、制作、更新，通过图片、视频、</w:t>
            </w:r>
            <w:r>
              <w:rPr>
                <w:rFonts w:ascii="仿宋_GB2312" w:hAnsi="仿宋_GB2312" w:cs="仿宋_GB2312" w:eastAsia="仿宋_GB2312"/>
                <w:sz w:val="28"/>
              </w:rPr>
              <w:t>PPT等多种方式传递国家招考政策，发布学院的校园资讯和获奖信息，并实时发布学院招考政策、专业介绍等宣传信息，发布有关我院的宣传信息需由指定的负责老师进行审核。</w:t>
            </w:r>
          </w:p>
          <w:p>
            <w:pPr>
              <w:pStyle w:val="null3"/>
              <w:ind w:firstLine="562"/>
              <w:jc w:val="both"/>
            </w:pPr>
            <w:r>
              <w:rPr>
                <w:rFonts w:ascii="仿宋_GB2312" w:hAnsi="仿宋_GB2312" w:cs="仿宋_GB2312" w:eastAsia="仿宋_GB2312"/>
              </w:rPr>
              <w:t xml:space="preserve"> </w:t>
            </w:r>
          </w:p>
          <w:p>
            <w:pPr>
              <w:pStyle w:val="null3"/>
              <w:ind w:firstLine="562"/>
              <w:jc w:val="both"/>
            </w:pPr>
            <w:r>
              <w:rPr>
                <w:rFonts w:ascii="仿宋_GB2312" w:hAnsi="仿宋_GB2312" w:cs="仿宋_GB2312" w:eastAsia="仿宋_GB2312"/>
                <w:sz w:val="28"/>
                <w:b/>
              </w:rPr>
              <w:t>二、服务要求</w:t>
            </w:r>
          </w:p>
          <w:p>
            <w:pPr>
              <w:pStyle w:val="null3"/>
              <w:ind w:firstLine="560"/>
              <w:jc w:val="both"/>
            </w:pPr>
            <w:r>
              <w:rPr>
                <w:rFonts w:ascii="仿宋_GB2312" w:hAnsi="仿宋_GB2312" w:cs="仿宋_GB2312" w:eastAsia="仿宋_GB2312"/>
                <w:sz w:val="28"/>
              </w:rPr>
              <w:t>宣传信息投放区域在全省总计不少于</w:t>
            </w:r>
            <w:r>
              <w:rPr>
                <w:rFonts w:ascii="仿宋_GB2312" w:hAnsi="仿宋_GB2312" w:cs="仿宋_GB2312" w:eastAsia="仿宋_GB2312"/>
                <w:sz w:val="28"/>
              </w:rPr>
              <w:t>140所高中/中职学校。通过图片，文字，视频等多种形式，发布院校宣传信息、尤其是在招生宣传的各重要时间节点，需及时利用网络更新宣传内容，并在显示器上滚动播放。</w:t>
            </w:r>
          </w:p>
          <w:p>
            <w:pPr>
              <w:pStyle w:val="null3"/>
              <w:ind w:firstLine="562"/>
              <w:jc w:val="both"/>
            </w:pPr>
            <w:r>
              <w:rPr>
                <w:rFonts w:ascii="仿宋_GB2312" w:hAnsi="仿宋_GB2312" w:cs="仿宋_GB2312" w:eastAsia="仿宋_GB2312"/>
              </w:rPr>
              <w:t xml:space="preserve"> </w:t>
            </w:r>
          </w:p>
          <w:p>
            <w:pPr>
              <w:pStyle w:val="null3"/>
              <w:ind w:firstLine="562"/>
              <w:jc w:val="both"/>
            </w:pPr>
            <w:r>
              <w:rPr>
                <w:rFonts w:ascii="仿宋_GB2312" w:hAnsi="仿宋_GB2312" w:cs="仿宋_GB2312" w:eastAsia="仿宋_GB2312"/>
                <w:sz w:val="28"/>
                <w:b/>
              </w:rPr>
              <w:t>三、其他</w:t>
            </w:r>
          </w:p>
          <w:p>
            <w:pPr>
              <w:pStyle w:val="null3"/>
              <w:ind w:firstLine="560"/>
              <w:jc w:val="both"/>
            </w:pPr>
            <w:r>
              <w:rPr>
                <w:rFonts w:ascii="仿宋_GB2312" w:hAnsi="仿宋_GB2312" w:cs="仿宋_GB2312" w:eastAsia="仿宋_GB2312"/>
                <w:sz w:val="28"/>
              </w:rPr>
              <w:t>（一）进度要求</w:t>
            </w:r>
          </w:p>
          <w:p>
            <w:pPr>
              <w:pStyle w:val="null3"/>
              <w:ind w:firstLine="560"/>
              <w:jc w:val="both"/>
            </w:pPr>
            <w:r>
              <w:rPr>
                <w:rFonts w:ascii="仿宋_GB2312" w:hAnsi="仿宋_GB2312" w:cs="仿宋_GB2312" w:eastAsia="仿宋_GB2312"/>
                <w:sz w:val="28"/>
              </w:rPr>
              <w:t>宣传信息更新每月＞</w:t>
            </w:r>
            <w:r>
              <w:rPr>
                <w:rFonts w:ascii="仿宋_GB2312" w:hAnsi="仿宋_GB2312" w:cs="仿宋_GB2312" w:eastAsia="仿宋_GB2312"/>
                <w:sz w:val="28"/>
              </w:rPr>
              <w:t>2次。</w:t>
            </w:r>
          </w:p>
          <w:p>
            <w:pPr>
              <w:pStyle w:val="null3"/>
              <w:ind w:firstLine="560"/>
              <w:jc w:val="both"/>
            </w:pPr>
            <w:r>
              <w:rPr>
                <w:rFonts w:ascii="仿宋_GB2312" w:hAnsi="仿宋_GB2312" w:cs="仿宋_GB2312" w:eastAsia="仿宋_GB2312"/>
                <w:sz w:val="28"/>
              </w:rPr>
              <w:t>（二）质量验收标准或规范</w:t>
            </w:r>
          </w:p>
          <w:p>
            <w:pPr>
              <w:pStyle w:val="null3"/>
              <w:ind w:firstLine="560"/>
              <w:jc w:val="both"/>
            </w:pPr>
            <w:r>
              <w:rPr>
                <w:rFonts w:ascii="仿宋_GB2312" w:hAnsi="仿宋_GB2312" w:cs="仿宋_GB2312" w:eastAsia="仿宋_GB2312"/>
                <w:sz w:val="28"/>
              </w:rPr>
              <w:t>以系统后台数据和视频截图等为验收依据，在总计不少于</w:t>
            </w:r>
            <w:r>
              <w:rPr>
                <w:rFonts w:ascii="仿宋_GB2312" w:hAnsi="仿宋_GB2312" w:cs="仿宋_GB2312" w:eastAsia="仿宋_GB2312"/>
                <w:sz w:val="28"/>
              </w:rPr>
              <w:t>140所高中/中职学校，通过图片，文字，视频等多种形式，在招生宣传的各重要时间节点，通过网络及时更新宣传内容，并在显示器上滚动播放。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以系统后台数据和视频截图等为验收依据，在总计不少于140所高中/中职学校，通过图片，文字，视频等多种形式，在招生宣传的各重要时间节点，通过网络及时更新宣传内容，并在显示器上滚动播放。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合同签订后，竣工验收后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按《中华人民共和国民法典》《政府采购法》中的相关条款执行。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1、为顺利推进政府采购电子化交易平台试点应用工作，供应商需要在线提交所有通过电子化交易平台实施的政府采购项目的投标文件。确定成交单位后，成交单位须提供响应文件正本 壹 份、副本 壹套、电子版壹 套（U盘一套标明供应商名称），应与线上提交的响应文件保持一致。 2、定标环节采购人有权对投标文件承诺响应的内容进行复核，如有虚假响应，一经发现，取消成交资格并上报财政主管部门，列入政府采购黑名单。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资格响应表.docx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不得为“信用中国”网站(http://www.creditchina.gov.cn)列入“失信被执行人、税收违法黑名单、政府采购严重违法失信行为记录名单”的投标方；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本项目不接受联合体磋商，（投标主体为单一供应商，无需提供证明材料）</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本项目为专门面向中、小企业项目，供应商应为中型企业、小型企业或微型企业</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磋商报价表及分项报价表.docx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一年</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项目验收合格后一次性结算</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90个日历天</w:t>
            </w:r>
          </w:p>
        </w:tc>
        <w:tc>
          <w:tcPr>
            <w:tcW w:type="dxa" w:w="1661"/>
          </w:tcPr>
          <w:p>
            <w:pPr>
              <w:pStyle w:val="null3"/>
            </w:pPr>
            <w:r>
              <w:rPr>
                <w:rFonts w:ascii="仿宋_GB2312" w:hAnsi="仿宋_GB2312" w:cs="仿宋_GB2312" w:eastAsia="仿宋_GB2312"/>
              </w:rPr>
              <w:t>商务及技术偏离表.docx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一、评审内容：①对项目理解；②整体工作思路； 二、评审标准：1、内容详尽且涵盖角度全面；2、合理性：专门针对本项目编制，符合项目实际情况及实施要求；3、可行性，能够保障项目顺利实施；三、赋分标准：①对项目理解，每完全满足一个评审标准得2分，满分6分。②整体工作思路，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一、评审内容：①宣传总体方案；②宣传具体内容细节；二、评审标准：1、内容详尽且涵盖角度全面；2、合理性：专门针对本项目编制，符合项目实际情况及实施要求；3、可行性，能够保障项目顺利实施；4、时效性，符合采购人平台宣传服务内容具体要求。三、赋分标准：①对项目理解，每完全满足一个评审标准得1分，满分4分。②整体工作思路，每完全满足一个评审标准得1分，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①质量控制总体目标；②具体质量保障措施。二、评审标准：1、完整性：内容全面，对评审内容中的各项要求有详细描述；2、可行性：切合本项目实际情况，提出步骤清晰的方案；3、针对性：紧扣项目实际情况需求，内容切实合理。三、赋分标准：①质量控制总体目标，每完全满足一个评审标准得1.5分，满分4.5分。②具体质量保障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①总体进度计划②具体进度保证保障措施；二、评审标准：1、完整性：内容全面，对评审内容中的各项要求有详细描述；2、可行性：切合本项目实际情况，提出步骤清晰的方案；3、针对性：紧扣项目实际情况需求，内容切实合理。三、赋分标准：①总体进度计划，每完全满足一个评审标准得1分，满分3分。②具体进度保证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一、评审内容：①根据拟投入的团队人员数量；②根据拟投入的团队人员年龄；③专业经验等情况； 二、评审标准：1、团队人员数量不少于2人。2、团队人员平均年龄不超过40岁。3、项目负责人具备5年以上工作经验，团队其余人员具备3年以上工作经验；三、赋分标准：每完全满足一个评审标准得1.5分，优于加1分，满分2.5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一、评审内容 应急预案，内容包括 ①针对本项目服务过程突发和临时事件的预计、应急处理能力；②大型活动、会议、紧急活动；③制定的应急预案。二、评审标准：1、完整性：内容全面，对评审内容中的各项要求有详细描述；2、可行性：切合本项目实际情况，提出步骤清晰的方案；3、针对性：紧扣项目实际情况需求，内容切实合理。三、赋分标准： ①针对本项目服务过程突发和临时事件的预计、应急处理能力：每完全满足一个评审标准得1分，满分3分； ②大型活动、会议、紧急活动：每完 全满足 一个评审标准得1分，满分3分； ③制定的应急预案：每完全满足一个评 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服务保证承诺②及时响应承诺；二、评审标准：1、完整性：内容全面，对评审内容中的各项要求有详细描述；2、可行性：切合本项目实际情况，提出步骤清晰的方案；3、针对性：紧扣项目实际情况需求，内容切实合理。三、赋分标准：①服务保证承诺，每完全满足一个评审标准得1分，满分3分。②及时响应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一、评审内容： ①廉洁措施②保密措施；二、评审标准：1、完整性：内容全面，对评审内容中的各项要求有详细描述；2、可行性：切合本项目实际情况，提出步骤清晰的方案；3、针对性：紧扣项目实际情况需求，内容切实合理。三、赋分标准：①廉洁措施，每完全满足一个评审标准得1分，满分3分，②保密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风险防范措施</w:t>
            </w:r>
          </w:p>
        </w:tc>
        <w:tc>
          <w:tcPr>
            <w:tcW w:type="dxa" w:w="2492"/>
          </w:tcPr>
          <w:p>
            <w:pPr>
              <w:pStyle w:val="null3"/>
            </w:pPr>
            <w:r>
              <w:rPr>
                <w:rFonts w:ascii="仿宋_GB2312" w:hAnsi="仿宋_GB2312" w:cs="仿宋_GB2312" w:eastAsia="仿宋_GB2312"/>
              </w:rPr>
              <w:t>一、评审内容：①风险防范措施。 二、评审标准 1、完整性：方案须全面，对评审内容中的各项要求描述详细； 2、可实施性：切合本项目实际情况，实施步骤清晰、合理； 3、针对性：方案能够紧扣项目实际情况，内容科学合理。 三、赋分依据 ①风险防范措施：每完全满足一个评审标准得1.5分，满分4.5分；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供应商近三年（2022年5月至今，以签订合同时间或中标通知书落款时间为准）提供类似项目业绩，每提供一个得3分，最高得12分。 （以磋商响应文件中合同或合同关键页（必须含封面、内容、签订时间 、盖章签字页等信息）或中标通知书加盖公章的扫描件为 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服务方案、人员表及供应商认为有必要提供的其他内容.docx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价格分统一采用低价优先法计算，即满足磋商文件要求且投标价格最低的响应报价为评标基准价，其价格分为满分。 其他供应商的价格分统一按照下列公式计算： 响应报价得分=(评标基准价／响应报价)×20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磋商报价表及分项报价表.docx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详见附件：磋商报价表及分项报价表.docx</w:t>
      </w:r>
    </w:p>
    <w:p>
      <w:pPr>
        <w:pStyle w:val="null3"/>
        <w:ind w:firstLine="960"/>
      </w:pPr>
      <w:r>
        <w:rPr>
          <w:rFonts w:ascii="仿宋_GB2312" w:hAnsi="仿宋_GB2312" w:cs="仿宋_GB2312" w:eastAsia="仿宋_GB2312"/>
        </w:rPr>
        <w:t>详见附件：服务方案、人员表及供应商认为有必要提供的其他内容.docx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详见附件：【服务】西安铁路职业技术学院高中信息平台宣传服务合同.docx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