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版本号：SXWZ2025ZB-SXCB-098A20250515001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组织开展“乡村阅读季”“红色经典阅读”“图书七进”等活动项目(二次)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SXWZ2025ZB-SXCB-098A</w:t>
      </w:r>
      <w:r>
        <w:br/>
      </w:r>
      <w:r>
        <w:br/>
      </w:r>
      <w:r>
        <w:br/>
      </w:r>
    </w:p>
    <w:p>
      <w:pPr>
        <w:pStyle w:val="null3"/>
        <w:jc w:val="center"/>
        <w:outlineLvl w:val="2"/>
      </w:pPr>
      <w:r>
        <w:rPr>
          <w:rFonts w:ascii="仿宋_GB2312" w:hAnsi="仿宋_GB2312" w:cs="仿宋_GB2312" w:eastAsia="仿宋_GB2312"/>
          <w:sz w:val="28"/>
          <w:b/>
        </w:rPr>
        <w:t>中共西安市委宣传部（本级）</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中共西安市委宣传部（本级）</w:t>
      </w:r>
      <w:r>
        <w:rPr>
          <w:rFonts w:ascii="仿宋_GB2312" w:hAnsi="仿宋_GB2312" w:cs="仿宋_GB2312" w:eastAsia="仿宋_GB2312"/>
        </w:rPr>
        <w:t>委托，拟对</w:t>
      </w:r>
      <w:r>
        <w:rPr>
          <w:rFonts w:ascii="仿宋_GB2312" w:hAnsi="仿宋_GB2312" w:cs="仿宋_GB2312" w:eastAsia="仿宋_GB2312"/>
        </w:rPr>
        <w:t>组织开展“乡村阅读季”“红色经典阅读”“图书七进”等活动项目(二次)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SXWZ2025ZB-SXCB-098A</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组织开展“乡村阅读季”“红色经典阅读”“图书七进”等活动项目(二次)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组织开展“乡村阅读季”“红色经典阅读”“图书七进”等活动项目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1、营业执照：提供合格有效的法人或其他组织的营业执照等证明文件，自然人参与的提供其身份证。</w:t>
      </w:r>
    </w:p>
    <w:p>
      <w:pPr>
        <w:pStyle w:val="null3"/>
      </w:pPr>
      <w:r>
        <w:rPr>
          <w:rFonts w:ascii="仿宋_GB2312" w:hAnsi="仿宋_GB2312" w:cs="仿宋_GB2312" w:eastAsia="仿宋_GB2312"/>
        </w:rPr>
        <w:t>2、授权委托书：非法定代表人参加投标的，须提供法定代表人授权委托书及被授权人身份证；法定代表人参加投标时,须提供法定代表人身份证。</w:t>
      </w:r>
    </w:p>
    <w:p>
      <w:pPr>
        <w:pStyle w:val="null3"/>
      </w:pPr>
      <w:r>
        <w:rPr>
          <w:rFonts w:ascii="仿宋_GB2312" w:hAnsi="仿宋_GB2312" w:cs="仿宋_GB2312" w:eastAsia="仿宋_GB2312"/>
        </w:rPr>
        <w:t>3、社会保障资金缴纳证明：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4、税收缴纳证明：提供2025年01月至今已缴纳的至少一个月的纳税证明或完税证明；依法免税的单位应提供相关证明材料。（以税收所属时期为准）</w:t>
      </w:r>
    </w:p>
    <w:p>
      <w:pPr>
        <w:pStyle w:val="null3"/>
      </w:pPr>
      <w:r>
        <w:rPr>
          <w:rFonts w:ascii="仿宋_GB2312" w:hAnsi="仿宋_GB2312" w:cs="仿宋_GB2312" w:eastAsia="仿宋_GB2312"/>
        </w:rPr>
        <w:t>5、财务状况证明：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中共西安市委宣传部（本级）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王卫武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029-86780654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 C 座 25 楼 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张航波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6000元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中共西安市委宣传部（本级）</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中共西安市委宣传部（本级）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中共西安市委宣传部（本级）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张航波</w:t>
      </w:r>
    </w:p>
    <w:p>
      <w:pPr>
        <w:pStyle w:val="null3"/>
      </w:pPr>
      <w:r>
        <w:rPr>
          <w:rFonts w:ascii="仿宋_GB2312" w:hAnsi="仿宋_GB2312" w:cs="仿宋_GB2312" w:eastAsia="仿宋_GB2312"/>
        </w:rPr>
        <w:t>联系电话：029-88319689-8006</w:t>
      </w:r>
    </w:p>
    <w:p>
      <w:pPr>
        <w:pStyle w:val="null3"/>
      </w:pPr>
      <w:r>
        <w:rPr>
          <w:rFonts w:ascii="仿宋_GB2312" w:hAnsi="仿宋_GB2312" w:cs="仿宋_GB2312" w:eastAsia="仿宋_GB2312"/>
        </w:rPr>
        <w:t>地址：西安市高新区唐延路旺座现代城 C 座 25 楼 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组织开展“乡村阅读季”“红色经典阅读”“图书七进”等活动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组织开展“乡村阅读季”“红色经典阅读”“图书七进”等活动项目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标的名称：组织开展“乡村阅读季”“红色经典阅读”“图书七进”等活动项目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组织开展全民阅读系列活动</w:t>
            </w:r>
          </w:p>
          <w:p>
            <w:pPr>
              <w:pStyle w:val="null3"/>
              <w:jc w:val="both"/>
            </w:pPr>
            <w:r>
              <w:rPr>
                <w:rFonts w:ascii="仿宋_GB2312" w:hAnsi="仿宋_GB2312" w:cs="仿宋_GB2312" w:eastAsia="仿宋_GB2312"/>
                <w:sz w:val="21"/>
              </w:rPr>
              <w:t>目前，全民阅读系列活动拟组织开展不少于</w:t>
            </w:r>
            <w:r>
              <w:rPr>
                <w:rFonts w:ascii="仿宋_GB2312" w:hAnsi="仿宋_GB2312" w:cs="仿宋_GB2312" w:eastAsia="仿宋_GB2312"/>
                <w:sz w:val="21"/>
              </w:rPr>
              <w:t>60场阅读活动，包括“红色经典阅读”活动、“新时代乡村阅读季”活动、传统文化阅读活动。</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“红色经典阅读”活动：以“建党”、“抗战胜利80周年”为主题开展20场“红色经典阅读”活动。包括但不限于场地布置、人员安排、现场协调、异地运输、组装、拆卸</w:t>
            </w:r>
            <w:r>
              <w:rPr>
                <w:rFonts w:ascii="仿宋_GB2312" w:hAnsi="仿宋_GB2312" w:cs="仿宋_GB2312" w:eastAsia="仿宋_GB2312"/>
                <w:sz w:val="21"/>
              </w:rPr>
              <w:t>、</w:t>
            </w:r>
            <w:r>
              <w:rPr>
                <w:rFonts w:ascii="仿宋_GB2312" w:hAnsi="仿宋_GB2312" w:cs="仿宋_GB2312" w:eastAsia="仿宋_GB2312"/>
                <w:sz w:val="21"/>
              </w:rPr>
              <w:t>惠民补贴</w:t>
            </w:r>
            <w:r>
              <w:rPr>
                <w:rFonts w:ascii="仿宋_GB2312" w:hAnsi="仿宋_GB2312" w:cs="仿宋_GB2312" w:eastAsia="仿宋_GB2312"/>
                <w:sz w:val="21"/>
              </w:rPr>
              <w:t>等。</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“新时代乡村阅读季”活动： 以“爱国”、“乡村振兴”为主题开展20场“新时代乡村阅读季”活动。包括但不限于场地布置、活动物料设计制作，对农家书屋进行1000元的图书捐赠等。</w:t>
            </w:r>
          </w:p>
          <w:p>
            <w:pPr>
              <w:pStyle w:val="null3"/>
              <w:jc w:val="both"/>
            </w:pPr>
            <w:r>
              <w:rPr>
                <w:rFonts w:ascii="仿宋_GB2312" w:hAnsi="仿宋_GB2312" w:cs="仿宋_GB2312" w:eastAsia="仿宋_GB2312"/>
                <w:sz w:val="21"/>
              </w:rPr>
              <w:t>（三）传统文化阅读活动。开展</w:t>
            </w:r>
            <w:r>
              <w:rPr>
                <w:rFonts w:ascii="仿宋_GB2312" w:hAnsi="仿宋_GB2312" w:cs="仿宋_GB2312" w:eastAsia="仿宋_GB2312"/>
                <w:sz w:val="21"/>
              </w:rPr>
              <w:t>20场传统文化阅读活动。包括但不限于场地布置、活动物料设计制作</w:t>
            </w:r>
            <w:r>
              <w:rPr>
                <w:rFonts w:ascii="仿宋_GB2312" w:hAnsi="仿宋_GB2312" w:cs="仿宋_GB2312" w:eastAsia="仿宋_GB2312"/>
                <w:sz w:val="21"/>
              </w:rPr>
              <w:t>、</w:t>
            </w:r>
            <w:r>
              <w:rPr>
                <w:rFonts w:ascii="仿宋_GB2312" w:hAnsi="仿宋_GB2312" w:cs="仿宋_GB2312" w:eastAsia="仿宋_GB2312"/>
                <w:sz w:val="21"/>
              </w:rPr>
              <w:t>惠民补贴</w:t>
            </w:r>
            <w:r>
              <w:rPr>
                <w:rFonts w:ascii="仿宋_GB2312" w:hAnsi="仿宋_GB2312" w:cs="仿宋_GB2312" w:eastAsia="仿宋_GB2312"/>
                <w:sz w:val="21"/>
              </w:rPr>
              <w:t>，对农家书屋进行</w:t>
            </w:r>
            <w:r>
              <w:rPr>
                <w:rFonts w:ascii="仿宋_GB2312" w:hAnsi="仿宋_GB2312" w:cs="仿宋_GB2312" w:eastAsia="仿宋_GB2312"/>
                <w:sz w:val="21"/>
              </w:rPr>
              <w:t>1000元的图书捐赠等。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自合同签订之日起至11月15日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合同签订后，乙方开具增值税发票，甲方验票无误后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活动进行一个月后，乙方开具增值税发票，甲方验票无误后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项目结束后，供应商出具结项报告，验收完成后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1.弃标须知：根据市财函【2021】431号文第16条规定：供应商登记免费领取采购文件的，如不参与项目投标，应在递 交投标（或响应）文件截止时间前一日以书面形式告知采购代理机构。否则，采购代理机构可以向财政部门反应情况并提供佐 证。供应商一年内累计出现三次该情形，将被监管部门记录为失信行为。 2、供应商需要在线提交所有通过电子化交易平台实 施的政府采购项目的投标文件，同时，线下提交纸质投标文件正本壹份、副本贰份。 纸质投标文件正副本均需胶装， 若电子投标文件与纸质投标文件不一致的，以在线 提交的电子投标文件为准； 线下递交文件地点： 西安市高新区唐延路旺座现代城C座25楼2502室；若选择邮寄，请邮寄至旺座现代城C座25楼2502室。联系电话：029-88319689-8006 邮箱：sxwzzb123@163.com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1、《政府采购促进中小企业发展管理办法》（财库〔2020〕46号）； 2、《关于进一步加大政府采购支持中小企业力度的通知》财库〔2022〕19号； 3、《财政部 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非法定代表人参加投标的，须提供法定代表人授权委托书及被授权人身份证；法定代表人参加投标时,须提供法定代表人身份证。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02供应商资格证明资料.docx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服务期是否满足采购文件要求</w:t>
            </w:r>
          </w:p>
        </w:tc>
        <w:tc>
          <w:tcPr>
            <w:tcW w:type="dxa" w:w="1661"/>
          </w:tcPr>
          <w:p>
            <w:pPr>
              <w:pStyle w:val="null3"/>
            </w:pPr>
            <w:r>
              <w:rPr>
                <w:rFonts w:ascii="仿宋_GB2312" w:hAnsi="仿宋_GB2312" w:cs="仿宋_GB2312" w:eastAsia="仿宋_GB2312"/>
              </w:rPr>
              <w:t>响应文件封面 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响应文件签字、盖章是否满足采购文件要求。</w:t>
            </w:r>
          </w:p>
        </w:tc>
        <w:tc>
          <w:tcPr>
            <w:tcW w:type="dxa" w:w="1661"/>
          </w:tcPr>
          <w:p>
            <w:pPr>
              <w:pStyle w:val="null3"/>
            </w:pPr>
            <w:r>
              <w:rPr>
                <w:rFonts w:ascii="仿宋_GB2312" w:hAnsi="仿宋_GB2312" w:cs="仿宋_GB2312" w:eastAsia="仿宋_GB2312"/>
              </w:rPr>
              <w:t>响应文件封面 01分项报价表.docx 14.供应商业绩一览表.docx 标的清单 报价表 15.供应商承诺书.docx 3.商务和服务响应偏离表.docx 16.供应商认为其他有必要说明的其他问题.docx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投标有效期是否满足采购文件要求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响应文件封面 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响应文件封面 16.供应商认为其他有必要说明的其他问题.docx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项目需求理解及分析</w:t>
            </w:r>
          </w:p>
        </w:tc>
        <w:tc>
          <w:tcPr>
            <w:tcW w:type="dxa" w:w="2492"/>
          </w:tcPr>
          <w:p>
            <w:pPr>
              <w:pStyle w:val="null3"/>
            </w:pPr>
            <w:r>
              <w:rPr>
                <w:rFonts w:ascii="仿宋_GB2312" w:hAnsi="仿宋_GB2312" w:cs="仿宋_GB2312" w:eastAsia="仿宋_GB2312"/>
              </w:rPr>
              <w:t>针对本项目提出适用于本项目的需求响应方案，包括但不限于：①项目理解②需求分析③项目重难点分析 完全满足采购需求并符合本项目实施特点的得9分；以上方案中每缺少一项内容扣3分；每有一处内容与实际需求不符或不满足要求或与本项目需求不切合或直接套用其他项目内容的扣0.5-2.5分，扣完为止。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4.项目需求理解及分析.docx</w:t>
            </w:r>
          </w:p>
        </w:tc>
      </w:tr>
      <w:tr>
        <w:tc>
          <w:tcPr>
            <w:tcW w:type="dxa" w:w="831"/>
            <w:vMerge/>
          </w:tcPr>
          <w:p/>
        </w:tc>
        <w:tc>
          <w:tcPr>
            <w:tcW w:type="dxa" w:w="1661"/>
          </w:tcPr>
          <w:p>
            <w:pPr>
              <w:pStyle w:val="null3"/>
            </w:pPr>
            <w:r>
              <w:rPr>
                <w:rFonts w:ascii="仿宋_GB2312" w:hAnsi="仿宋_GB2312" w:cs="仿宋_GB2312" w:eastAsia="仿宋_GB2312"/>
              </w:rPr>
              <w:t>项目整体实施方案（包含活动策划）</w:t>
            </w:r>
          </w:p>
        </w:tc>
        <w:tc>
          <w:tcPr>
            <w:tcW w:type="dxa" w:w="2492"/>
          </w:tcPr>
          <w:p>
            <w:pPr>
              <w:pStyle w:val="null3"/>
            </w:pPr>
            <w:r>
              <w:rPr>
                <w:rFonts w:ascii="仿宋_GB2312" w:hAnsi="仿宋_GB2312" w:cs="仿宋_GB2312" w:eastAsia="仿宋_GB2312"/>
              </w:rPr>
              <w:t>方案紧密围绕全民阅读系列活动主题，充分考虑活动时间、地点及受众特点，活动流程设计合理、逻辑清晰、环节丰富且具创新性。 包括但不限于展台选址、工作流程规划、各环节安排部署、各部门协调方案、异地运输、活动嘉宾邀请等。完全满足本项目需求每项计3分；本方案最高计15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5.项目整体实施方案（包含活动策划）.docx</w:t>
            </w:r>
          </w:p>
        </w:tc>
      </w:tr>
      <w:tr>
        <w:tc>
          <w:tcPr>
            <w:tcW w:type="dxa" w:w="831"/>
            <w:vMerge/>
          </w:tcPr>
          <w:p/>
        </w:tc>
        <w:tc>
          <w:tcPr>
            <w:tcW w:type="dxa" w:w="1661"/>
          </w:tcPr>
          <w:p>
            <w:pPr>
              <w:pStyle w:val="null3"/>
            </w:pPr>
            <w:r>
              <w:rPr>
                <w:rFonts w:ascii="仿宋_GB2312" w:hAnsi="仿宋_GB2312" w:cs="仿宋_GB2312" w:eastAsia="仿宋_GB2312"/>
              </w:rPr>
              <w:t>设计及布置方案</w:t>
            </w:r>
          </w:p>
        </w:tc>
        <w:tc>
          <w:tcPr>
            <w:tcW w:type="dxa" w:w="2492"/>
          </w:tcPr>
          <w:p>
            <w:pPr>
              <w:pStyle w:val="null3"/>
            </w:pPr>
            <w:r>
              <w:rPr>
                <w:rFonts w:ascii="仿宋_GB2312" w:hAnsi="仿宋_GB2312" w:cs="仿宋_GB2312" w:eastAsia="仿宋_GB2312"/>
              </w:rPr>
              <w:t>供应商需针对场地设计及布置方案进行阐述，方案包括但不限于：①场地租赁选址应合理②场地整体布局、视觉设计应结合活动主题③场地配套设施及服务应完全满足项目实施；进行综合评分。 完全满足采购需求并符合本项目实施特点的得9分；以上方案中每缺少一项内容扣3分；每有一处内容与实际需求不符或不满足要求或与本项目需求不切合或直接套用其他项目内容的扣0.5-2.5分，扣完为止。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6.场地设计及布置方案.docx</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供应商针对本项目采用多种方式进行宣传，让更多的市民参与到活动中来。宣传方案切实可行，完全满足项目需求、可操作性强得5分；宣传方案基本可行，基本满足项目需求、可操作性强得3分；宣传方案空泛，一般满足项目需求、可操作性差得1分。未提供相关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7.宣传方案.docx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供应商针对本项目提供服务团队的人员配备方案具有专业的执行团队（包括但不限于项目负责人、策划、宣传、管理等岗位设置），提供人员证明材料（不限于毕业证或学历证等相关证明材料复印件）。 （1）人员配备合理，专业性强，经验丰富，职责分工明确，得10分； （2）人员配备较合理，专业性较强，经验较丰富，职责分工较明确，得8分； （3）人员配备基本合理，专业性经验基本丰富，职责分工基本明确，得6分； （4）人员配备一般、专业性一般，经验欠缺，职责分工一般，得4分； （5）人员配备合理差、专业性差，职责分工不明确，得2分； （6）未提供相关内容的不得分。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8.服务团队.docx</w:t>
            </w:r>
          </w:p>
        </w:tc>
      </w:tr>
      <w:tr>
        <w:tc>
          <w:tcPr>
            <w:tcW w:type="dxa" w:w="831"/>
            <w:vMerge/>
          </w:tcPr>
          <w:p/>
        </w:tc>
        <w:tc>
          <w:tcPr>
            <w:tcW w:type="dxa" w:w="1661"/>
          </w:tcPr>
          <w:p>
            <w:pPr>
              <w:pStyle w:val="null3"/>
            </w:pPr>
            <w:r>
              <w:rPr>
                <w:rFonts w:ascii="仿宋_GB2312" w:hAnsi="仿宋_GB2312" w:cs="仿宋_GB2312" w:eastAsia="仿宋_GB2312"/>
              </w:rPr>
              <w:t>投入的材料设备</w:t>
            </w:r>
          </w:p>
        </w:tc>
        <w:tc>
          <w:tcPr>
            <w:tcW w:type="dxa" w:w="2492"/>
          </w:tcPr>
          <w:p>
            <w:pPr>
              <w:pStyle w:val="null3"/>
            </w:pPr>
            <w:r>
              <w:rPr>
                <w:rFonts w:ascii="仿宋_GB2312" w:hAnsi="仿宋_GB2312" w:cs="仿宋_GB2312" w:eastAsia="仿宋_GB2312"/>
              </w:rPr>
              <w:t>根据供应商拟投入的关键设施设备、推介用品、专业设备等的配备情况。 1.设施设备配备齐全、合理、专业能完全满足需求的计5分; 2.设施设备配备有缺陷、基本满足需求的计3分; 3.投入设施设备不能满足项目需求的计1分；4.未提供本项不计分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9.投入的材料设备.docx</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供应商对本项目制定进度计划方案和各阶段的实施计划表（包括但不限于项目服务期间的需求确认、方案制定、活动周期、控制管理、协调管理等）。项目进度计划、时间节点及工作内容等安排详细合理贴合本项目需求每项计2分；本方案最高计10分；以上方案中每缺少一项内容扣2分；每有一处内容与实际需求不符或不满足要求或与本项目需求不切合或直接套用其他项目内容的扣0.1-1.5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10.项目进度计划.docx</w:t>
            </w:r>
          </w:p>
        </w:tc>
      </w:tr>
      <w:tr>
        <w:tc>
          <w:tcPr>
            <w:tcW w:type="dxa" w:w="831"/>
            <w:vMerge/>
          </w:tcPr>
          <w:p/>
        </w:tc>
        <w:tc>
          <w:tcPr>
            <w:tcW w:type="dxa" w:w="1661"/>
          </w:tcPr>
          <w:p>
            <w:pPr>
              <w:pStyle w:val="null3"/>
            </w:pPr>
            <w:r>
              <w:rPr>
                <w:rFonts w:ascii="仿宋_GB2312" w:hAnsi="仿宋_GB2312" w:cs="仿宋_GB2312" w:eastAsia="仿宋_GB2312"/>
              </w:rPr>
              <w:t>物料设计与制作方案</w:t>
            </w:r>
          </w:p>
        </w:tc>
        <w:tc>
          <w:tcPr>
            <w:tcW w:type="dxa" w:w="2492"/>
          </w:tcPr>
          <w:p>
            <w:pPr>
              <w:pStyle w:val="null3"/>
            </w:pPr>
            <w:r>
              <w:rPr>
                <w:rFonts w:ascii="仿宋_GB2312" w:hAnsi="仿宋_GB2312" w:cs="仿宋_GB2312" w:eastAsia="仿宋_GB2312"/>
              </w:rPr>
              <w:t>设计风格与形象要求，宣传物料（海报、展板、手册等）设计醒目，风格突出，能很好地体现全民阅读系列活动，与活动整体形象一致，选用的制作材料质量可靠，制作工艺精细，能保证物料的耐久性和展示效果，同时成本控制合理，得6分；设计风格一般，能体现主题，但创新性不足，制作质量一般，成本控制基本合理，得3分；设计不符合主题要求，制作质量差，成本过高或过低，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11.物料设计与制作方案.docx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供应商提供针对本项目服务质量保证。 对整个项目服务期限内质量控制管理、人员到位情况把控严格，保证方案详细可行计6分； 对整个项目服务期限内质量控制管理不够详细、合理性一般计3分；对整个项目服务期限内质量控制管理简单空泛计1分；相关内容未提供得0分。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12.服务质量保证措施.docx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安全措施完整性，制定的安全保障措施全面，涵盖活动现场的各个环节，包括但不限于人员疏散、设备安全、突发状况分析及应急处置方案、消防预案、安保工作方案。本项目需求每项计2分；本方案最高计10分；以上方案中每缺少一项内容扣2分；每有一处内容与实际需求不符或不满足要求或与本项目需求不切合或直接套用其他项目内容的扣0.1-1.5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13.安全保障方案.docx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提供投标人2022年01月01日类似项目业绩合同或开展类似项目主要佐证材料，每份计1分，计满5分为止。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详见附件：3.商务和服务响应偏离表.docx</w:t>
      </w:r>
    </w:p>
    <w:p>
      <w:pPr>
        <w:pStyle w:val="null3"/>
        <w:ind w:firstLine="960"/>
      </w:pPr>
      <w:r>
        <w:rPr>
          <w:rFonts w:ascii="仿宋_GB2312" w:hAnsi="仿宋_GB2312" w:cs="仿宋_GB2312" w:eastAsia="仿宋_GB2312"/>
        </w:rPr>
        <w:t>详见附件：4.项目需求理解及分析.docx</w:t>
      </w:r>
    </w:p>
    <w:p>
      <w:pPr>
        <w:pStyle w:val="null3"/>
        <w:ind w:firstLine="960"/>
      </w:pPr>
      <w:r>
        <w:rPr>
          <w:rFonts w:ascii="仿宋_GB2312" w:hAnsi="仿宋_GB2312" w:cs="仿宋_GB2312" w:eastAsia="仿宋_GB2312"/>
        </w:rPr>
        <w:t>详见附件：5.项目整体实施方案（包含活动策划）.docx</w:t>
      </w:r>
    </w:p>
    <w:p>
      <w:pPr>
        <w:pStyle w:val="null3"/>
        <w:ind w:firstLine="960"/>
      </w:pPr>
      <w:r>
        <w:rPr>
          <w:rFonts w:ascii="仿宋_GB2312" w:hAnsi="仿宋_GB2312" w:cs="仿宋_GB2312" w:eastAsia="仿宋_GB2312"/>
        </w:rPr>
        <w:t>详见附件：6.场地设计及布置方案.docx</w:t>
      </w:r>
    </w:p>
    <w:p>
      <w:pPr>
        <w:pStyle w:val="null3"/>
        <w:ind w:firstLine="960"/>
      </w:pPr>
      <w:r>
        <w:rPr>
          <w:rFonts w:ascii="仿宋_GB2312" w:hAnsi="仿宋_GB2312" w:cs="仿宋_GB2312" w:eastAsia="仿宋_GB2312"/>
        </w:rPr>
        <w:t>详见附件：7.宣传方案.docx</w:t>
      </w:r>
    </w:p>
    <w:p>
      <w:pPr>
        <w:pStyle w:val="null3"/>
        <w:ind w:firstLine="960"/>
      </w:pPr>
      <w:r>
        <w:rPr>
          <w:rFonts w:ascii="仿宋_GB2312" w:hAnsi="仿宋_GB2312" w:cs="仿宋_GB2312" w:eastAsia="仿宋_GB2312"/>
        </w:rPr>
        <w:t>详见附件：8.服务团队.docx</w:t>
      </w:r>
    </w:p>
    <w:p>
      <w:pPr>
        <w:pStyle w:val="null3"/>
        <w:ind w:firstLine="960"/>
      </w:pPr>
      <w:r>
        <w:rPr>
          <w:rFonts w:ascii="仿宋_GB2312" w:hAnsi="仿宋_GB2312" w:cs="仿宋_GB2312" w:eastAsia="仿宋_GB2312"/>
        </w:rPr>
        <w:t>详见附件：9.投入的材料设备.docx</w:t>
      </w:r>
    </w:p>
    <w:p>
      <w:pPr>
        <w:pStyle w:val="null3"/>
        <w:ind w:firstLine="960"/>
      </w:pPr>
      <w:r>
        <w:rPr>
          <w:rFonts w:ascii="仿宋_GB2312" w:hAnsi="仿宋_GB2312" w:cs="仿宋_GB2312" w:eastAsia="仿宋_GB2312"/>
        </w:rPr>
        <w:t>详见附件：10.项目进度计划.docx</w:t>
      </w:r>
    </w:p>
    <w:p>
      <w:pPr>
        <w:pStyle w:val="null3"/>
        <w:ind w:firstLine="960"/>
      </w:pPr>
      <w:r>
        <w:rPr>
          <w:rFonts w:ascii="仿宋_GB2312" w:hAnsi="仿宋_GB2312" w:cs="仿宋_GB2312" w:eastAsia="仿宋_GB2312"/>
        </w:rPr>
        <w:t>详见附件：11.物料设计与制作方案.docx</w:t>
      </w:r>
    </w:p>
    <w:p>
      <w:pPr>
        <w:pStyle w:val="null3"/>
        <w:ind w:firstLine="960"/>
      </w:pPr>
      <w:r>
        <w:rPr>
          <w:rFonts w:ascii="仿宋_GB2312" w:hAnsi="仿宋_GB2312" w:cs="仿宋_GB2312" w:eastAsia="仿宋_GB2312"/>
        </w:rPr>
        <w:t>详见附件：12.服务质量保证措施.docx</w:t>
      </w:r>
    </w:p>
    <w:p>
      <w:pPr>
        <w:pStyle w:val="null3"/>
        <w:ind w:firstLine="960"/>
      </w:pPr>
      <w:r>
        <w:rPr>
          <w:rFonts w:ascii="仿宋_GB2312" w:hAnsi="仿宋_GB2312" w:cs="仿宋_GB2312" w:eastAsia="仿宋_GB2312"/>
        </w:rPr>
        <w:t>详见附件：13.安全保障方案.docx</w:t>
      </w:r>
    </w:p>
    <w:p>
      <w:pPr>
        <w:pStyle w:val="null3"/>
        <w:ind w:firstLine="960"/>
      </w:pPr>
      <w:r>
        <w:rPr>
          <w:rFonts w:ascii="仿宋_GB2312" w:hAnsi="仿宋_GB2312" w:cs="仿宋_GB2312" w:eastAsia="仿宋_GB2312"/>
        </w:rPr>
        <w:t>详见附件：14.供应商业绩一览表.docx</w:t>
      </w:r>
    </w:p>
    <w:p>
      <w:pPr>
        <w:pStyle w:val="null3"/>
        <w:ind w:firstLine="960"/>
      </w:pPr>
      <w:r>
        <w:rPr>
          <w:rFonts w:ascii="仿宋_GB2312" w:hAnsi="仿宋_GB2312" w:cs="仿宋_GB2312" w:eastAsia="仿宋_GB2312"/>
        </w:rPr>
        <w:t>详见附件：15.供应商承诺书.docx</w:t>
      </w:r>
    </w:p>
    <w:p>
      <w:pPr>
        <w:pStyle w:val="null3"/>
        <w:ind w:firstLine="960"/>
      </w:pPr>
      <w:r>
        <w:rPr>
          <w:rFonts w:ascii="仿宋_GB2312" w:hAnsi="仿宋_GB2312" w:cs="仿宋_GB2312" w:eastAsia="仿宋_GB2312"/>
        </w:rPr>
        <w:t>详见附件：16.供应商认为其他有必要说明的其他问题.docx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详见附件：活动-采购文件合同.docx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