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版本号：LZZB-2025-007120250519001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西安市第五次全国经济普查课题研究项目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LZZB-2025-0071</w:t>
      </w:r>
      <w:r>
        <w:br/>
      </w:r>
      <w:r>
        <w:br/>
      </w:r>
      <w:r>
        <w:br/>
      </w:r>
    </w:p>
    <w:p>
      <w:pPr>
        <w:pStyle w:val="null3"/>
        <w:jc w:val="center"/>
        <w:outlineLvl w:val="2"/>
      </w:pPr>
      <w:r>
        <w:rPr>
          <w:rFonts w:ascii="仿宋_GB2312" w:hAnsi="仿宋_GB2312" w:cs="仿宋_GB2312" w:eastAsia="仿宋_GB2312"/>
          <w:sz w:val="28"/>
          <w:b/>
        </w:rPr>
        <w:t>西安市统计局普查中心</w:t>
      </w:r>
    </w:p>
    <w:p>
      <w:pPr>
        <w:pStyle w:val="null3"/>
        <w:jc w:val="center"/>
        <w:outlineLvl w:val="2"/>
      </w:pPr>
      <w:r>
        <w:rPr>
          <w:rFonts w:ascii="仿宋_GB2312" w:hAnsi="仿宋_GB2312" w:cs="仿宋_GB2312" w:eastAsia="仿宋_GB2312"/>
          <w:sz w:val="28"/>
          <w:b/>
        </w:rPr>
        <w:t>陕西立志项目管理有限公司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陕西立志项目管理有限公司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西安市统计局普查中心</w:t>
      </w:r>
      <w:r>
        <w:rPr>
          <w:rFonts w:ascii="仿宋_GB2312" w:hAnsi="仿宋_GB2312" w:cs="仿宋_GB2312" w:eastAsia="仿宋_GB2312"/>
        </w:rPr>
        <w:t>委托，拟对</w:t>
      </w:r>
      <w:r>
        <w:rPr>
          <w:rFonts w:ascii="仿宋_GB2312" w:hAnsi="仿宋_GB2312" w:cs="仿宋_GB2312" w:eastAsia="仿宋_GB2312"/>
        </w:rPr>
        <w:t>西安市第五次全国经济普查课题研究项目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LZZB-2025-0071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西安市第五次全国经济普查课题研究项目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为了充分利用第五次全国经济普查数据资源，深入剖析我市第二产业和第三产业的发展现状、布局特征、效益水平及未来趋势。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1、信誉：投标供应商在磋商截止时间前不得为“信用中国”网站（www.creditchina.gov.cn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1、信誉：投标供应商在磋商截止时间前不得为“信用中国”网站（www.creditchina.gov.cn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1、信誉：投标供应商在磋商截止时间前不得为“信用中国”网站（www.creditchina.gov.cn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西安市统计局普查中心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02986787214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陕西省西安市太华北路锦园国际广场 1704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029-81621880/18392956263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采购包1：80,000.00元</w:t>
            </w:r>
          </w:p>
          <w:p>
            <w:pPr>
              <w:pStyle w:val="null3"/>
            </w:pPr>
            <w:r>
              <w:rPr>
                <w:rFonts w:ascii="仿宋_GB2312" w:hAnsi="仿宋_GB2312" w:cs="仿宋_GB2312" w:eastAsia="仿宋_GB2312"/>
              </w:rPr>
              <w:t>采购包2：80,000.00元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代理服务费收费标准：本项目各包招标代理服务费由中标单位支付, 按照国家计委颁布的《招标代理服务收费管理暂行办法》（计价格『2002』1980号）及发改办价格『2003』857号中规定的标准计取，不足5000元，按5000元计取。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西安市统计局普查中心</w:t>
      </w:r>
      <w:r>
        <w:rPr>
          <w:rFonts w:ascii="仿宋_GB2312" w:hAnsi="仿宋_GB2312" w:cs="仿宋_GB2312" w:eastAsia="仿宋_GB2312"/>
        </w:rPr>
        <w:t>和</w:t>
      </w:r>
      <w:r>
        <w:rPr>
          <w:rFonts w:ascii="仿宋_GB2312" w:hAnsi="仿宋_GB2312" w:cs="仿宋_GB2312" w:eastAsia="仿宋_GB2312"/>
        </w:rPr>
        <w:t>陕西立志项目管理有限公司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西安市统计局普查中心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西安市统计局普查中心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西安市经济普查办公室组织专家对研究成果进行评审鉴定并有权对研究成果进行压缩、提炼和改编。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西安市经济普查办公室组织专家对研究成果进行评审鉴定并有权对研究成果进行压缩、提炼和改编。</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西安市经济普查办公室组织专家对研究成果进行评审鉴定并有权对研究成果进行压缩、提炼和改编。</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西安市经济普查办公室组织专家对研究成果进行评审鉴定并有权对研究成果进行压缩、提炼和改编。</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联系人：内控监督处</w:t>
      </w:r>
    </w:p>
    <w:p>
      <w:pPr>
        <w:pStyle w:val="null3"/>
      </w:pPr>
      <w:r>
        <w:rPr>
          <w:rFonts w:ascii="仿宋_GB2312" w:hAnsi="仿宋_GB2312" w:cs="仿宋_GB2312" w:eastAsia="仿宋_GB2312"/>
        </w:rPr>
        <w:t>联系电话：029-81621880</w:t>
      </w:r>
    </w:p>
    <w:p>
      <w:pPr>
        <w:pStyle w:val="null3"/>
      </w:pPr>
      <w:r>
        <w:rPr>
          <w:rFonts w:ascii="仿宋_GB2312" w:hAnsi="仿宋_GB2312" w:cs="仿宋_GB2312" w:eastAsia="仿宋_GB2312"/>
        </w:rPr>
        <w:t>地址：陕西省西安市太华北路锦园国际广场 1704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为了充分利用第五次全国经济普查数据资源，深入剖析我市第二产业和第三产业的发展现状、布局特征、效益水平及未来趋势。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课题研究成果（西安与其他重点城市经济发展路径对比研究）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课题研究成果（西安消费市场扩容升级趋势分析与路径分析）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课题研究成果（西安扩大有效投资研究）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课题研究成果（西安科技创新与产业创新深度融合发展研究））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标的名称：课题研究成果（西安与其他重点城市经济发展路径对比研究）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聚焦西安战略定位，基于第五次全国经济普查数据以及相关部门统计资料，运用定量分析与定性研判相结合的方法，纵向梳理当前经济发展阶段特征，横向对比重点城市，从区域辐射引领、产业体系构建、新质生产力培育、未来产业布局等多维度开展系统性研究；结合必要的实地考察调研，全面解析西安综合能级、创新驱动、产业升级等方面的比较优势和短板；紧扣西安实际、发展定位、资源禀赋和政策机遇，研究可行性发展路径，为进一步推动西安经济社会高质量发展提出决策建议。</w:t>
            </w:r>
          </w:p>
          <w:p>
            <w:pPr>
              <w:pStyle w:val="null3"/>
              <w:jc w:val="both"/>
            </w:pPr>
            <w:r>
              <w:rPr>
                <w:rFonts w:ascii="仿宋_GB2312" w:hAnsi="仿宋_GB2312" w:cs="仿宋_GB2312" w:eastAsia="仿宋_GB2312"/>
                <w:sz w:val="24"/>
                <w:color w:val="000000"/>
              </w:rPr>
              <w:t xml:space="preserve">   具体方向可根据研究需要作适当调整。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标的名称：课题研究成果（西安消费市场扩容升级趋势分析与路径分析）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 xml:space="preserve">  聚焦</w:t>
            </w:r>
            <w:r>
              <w:rPr>
                <w:rFonts w:ascii="仿宋_GB2312" w:hAnsi="仿宋_GB2312" w:cs="仿宋_GB2312" w:eastAsia="仿宋_GB2312"/>
                <w:sz w:val="24"/>
                <w:color w:val="000000"/>
              </w:rPr>
              <w:t>5年来西安市消费市场演进变化及其对经济增长的贡献度，基于第五次全国经济普查数据以及相关部门统计资料，通过纵向梳理消费市场发展脉络与横向对比其他消费中心城市发展特点，系统解析西安市消费市场总体现状、消费结构变化趋势、传统零售和新零售发展情况，剖析当前消费领域存在的问题，并提出西安市消费市场扩容升级的路径和对策建议，为破解消费增长瓶颈、提升城市消费能级、构建消费扩容提质长效机制提供决策支撑，助力经济高质量发展。</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标的名称：课题研究成果（西安扩大有效投资研究）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 xml:space="preserve">  充分利用经济普查及相关数据，结合必要的考察调研，从产业（如制造业、信息技术服务业、科学技术服务业）、投资主体（民间投资）、资金流向（工业园区、新基建、物流体系建设等领域）、工作抓手（政策、要素、服务等）、风险防控角度研究分析西安扩大有效投资的路径或影响要素。借助数据分析模型，从土地资源利用率、固定资产投资建设周期、竣工投产使用效果等角度出发，对西安市固定资产投资现状进行深入剖析，找出当前西安市固定资产投资面临的主要问题，分析西安市固定资产投资前景与方向，为优化西安投资结构，提高投资效益提供有力的理论与实证支撑。</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标的名称：课题研究成果（西安科技创新与产业创新深度融合发展研究））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 xml:space="preserve">  聚焦西安工业新质生产力发展实际现状，基于第五次经济普查数据以及相关部门资料，通过纵向梳理科技创新与产业创新深度融合发展方式与横向对比其他重点城市发展特点，从多角度构建能充分反映</w:t>
            </w:r>
            <w:r>
              <w:rPr>
                <w:rFonts w:ascii="仿宋_GB2312" w:hAnsi="仿宋_GB2312" w:cs="仿宋_GB2312" w:eastAsia="仿宋_GB2312"/>
                <w:sz w:val="24"/>
                <w:color w:val="000000"/>
              </w:rPr>
              <w:t>“科技创新与产业创新深度融合”的统计评价指标体系，测算评价近五年来西安在“科技创新与产业创新深度融合发展”驱动下的产业演进路径及其对经济增长的贡献度，系统解析“科技创新与产业创新深度融合发展”中当前存在的问题，并提出针对性对策建议，为破解融合发展障碍、提升融合能级提供决策支撑，助力西安在“工业倍增”中实现高质量发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供应商人员配置应满足磋商文件技术、服务、商务要求。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供应商人员配置应满足磋商文件技术、服务、商务要求。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供应商人员配置应满足磋商文件技术、服务、商务要求。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供应商人员配置应满足磋商文件技术、服务、商务要求。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供应商设施设备配置应满足磋商文件技术、服务、商务要求。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供应商设施设备配置应满足磋商文件技术、服务、商务要求。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供应商设施设备配置应满足磋商文件技术、服务、商务要求。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供应商设施设备配置应满足磋商文件技术、服务、商务要求。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具体内容详见磋商文件。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具体内容详见磋商文件。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具体内容详见磋商文件。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2025年9月30日前，课题负责人将最终研究成果（不少于3万字）、成果摘要（不超过5000字）报西安市经济普查办公室。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2025年9月30日前，课题负责人将最终研究成果（不少于3万字）、成果摘要（不超过5000字）报西安市经济普查办公室。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2025年9月30日前，课题负责人将最终研究成果（不少于3万字）、成果摘要（不超过5000字）报西安市经济普查办公室。</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课题研究完成后，课题负责人应于2025年8月31日前提交研究成果，由西安市经济普查办公室组织初审，通过初审后进一步修改完善。2025年9月30日前，课题负责人将最终研究成果（不少于3万字）、成果摘要（不超过5000字）报西安市经济普查办公室。</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西安市经济普查办公室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西安市经济普查办公室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西安市经济普查办公室</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西安市经济普查办公室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西安市经济普查办公室组织专家对研究成果进行评审鉴定，经评审合格后编入《西安市第五次全国经济普查课题汇编》。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西安市经济普查办公室组织专家对研究成果进行评审鉴定，经评审合格后编入《西安市第五次全国经济普查课题汇编》。</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西安市经济普查办公室组织专家对研究成果进行评审鉴定，经评审合格后编入《西安市第五次全国经济普查课题汇编》</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西安市经济普查办公室组织专家对研究成果进行评审鉴定，经评审合格后编入《西安市第五次全国经济普查课题汇编》。</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课题研究合同签署后，第一批拨付课题经费的70%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课题完成后，经评审合格，拨付课题经费的30%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课题研究合同签署后，第一批拨付课题经费的70%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课题完成后，经评审合格，拨付课题经费的30%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课题研究合同签署后，第一批拨付课题经费的70%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课题完成后，经评审合格，拨付课题经费的30%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课题研究合同签署后，第一批拨付课题经费的70%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课题完成后，经评审合格，拨付课题经费的30%。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1.采购合同经双方签字生效后，不得擅自变更、中止或者终止合同，任何一方需变更、调整或者中止、终止合同的，应经双方协商一致后履行相应的手续或重新补订协议。 2.成交供应商所提供的主要成果如不符合合同或相应文件，或本项目不能通过验收的，采购人有权解除合同，成交供应 商承担合同价款30%的违约金。争议的解决：合同执行中发生争议的，当事人双方应协商解决，协商达不成一致时，可向项目所在地人民法院提 请诉 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1.采购合同经双方签字生效后，不得擅自变更、中止或者终止合同，任何一方需变更、调整或者中止、终止合同的，应经双方协商一致后履行相应的手续或重新补订协议。 2.成交供应商所提供的主要成果如不符合合同或相应文件，或本项目不能通过验收的，采购人有权解除合同，成交供应 商承担合同价款30%的违约金。争议的解决：合同执行中发生争议的，当事人双方应协商解决，协商达不成一致时，可向项目所在地人民法院提 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1.采购合同经双方签字生效后，不得擅自变更、中止或者终止合同，任何一方需变更、调整或者中止、终止合同的，应经双方协商一致后履行相应的手续或重新补订协议。 2.成交供应商所提供的主要成果如不符合合同或相应文件，或本项目不能通过验收的，采购人有权解除合同，成交供应 商承担合同价款30%的违约金。争议的解决：合同执行中发生争议的，当事人双方应协商解决，协商达不成一致时，可向项目所在地人民法院提请诉讼。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1.采购合同经双方签字生效后，不得擅自变更、中止或者终止合同，任 何一方需变更、调整或者中止、终止合同的，应 经双方协商一致后履行相应的手续或重新补订协议。 2.成交供应商所提供的 主要成果如不符合合同或相应文件，或本项目不能通过验收的，采购人有权解除合同，成交供应 商承担合同价款30%的违约 金。 争议的解决：合同执行中发生争议的，当事人双方应协商解决，协商达不成一致时，可向项目所在地人民法院提 请诉 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并在中华人民共和国境内注册，提供注册登记凭证（营业执照、其他组织经营的合法凭证，自然人的提供身份证明文件）。2）具有良好的商业信誉和健全的财务会计制度，提供2022年度或2023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或财政部门认可的政府采购专业担保机构出具的投标担保函；以上三种形式的资料提供任何一种即可。3）具有履行合同所必需的设备和专业技术能力提供声明文件。4）具有依法缴纳税 收的良好记录提供缴费所属日期为磋商截止时间前12个月内任一月份（磋商截止时间当月不计 入）的增值税（或所得税）缴费凭据或税务机关出具的完税证明/在法规范围内不需提供的应出 具书面说明和证明文件；5)具有依法缴纳社会保障资金的良好记录提供缴费所属日期为磋商截 止时间前12个月内任一月份（磋商截止时间当月不计入）的缴费凭据或社保机关出具的缴费证 明/在法规范围内不需提供的应出具书面说明和证明文件；6）参加政府采购活动前3年内在经营 活动中没有重大违法记录的书面声明；7）法人代表授权书（或单位负责人证明书)。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1）具有独立承担民事责任的能力并在中华人民共和国境内注册，提供注册登记凭证（营业执照、其他组织经营的合法凭证， 自然人的提供身份证明文件）。 2）具有良好的商业信誉和健全的财务会计制度，提供2022年度 或2023年度经审计的财务报告（包括四表一注,即资产负债表、利润表、现金流量表、所有者权 益变动表及其附注），且无反对意见；事业法人提供部门决算报告；/或在磋商截止日期前六个 月内其基本开户银行出具的资信证明(附《基本存款账户信息》或《银行开户许可证》复印件） ；/或财政部门认可的政府采购专业担保机构出具的投标担保函；以上三种形式的资料提供任何 一种即可。 3）具有履行合同所必需的设备和专业技术能力提供声明文件。 4）具有依法缴纳税 收的良好记录提供缴费所属日期为磋商截止时间前12个月内任一月份（磋商截止时间当月不计 入）的增值税（或所得税）缴费凭据或税务机关出具的完税证明/在法规范围内不需提供的应出 具书面说明和证明文件； 5)具有依法缴纳社会保障资金的良好记录提供缴费所属日期为磋商截 止时间前12个月内任一月份（磋商截止时间当月不计入）的缴费凭据或社保机关出具的缴费证 明/在法规范围内不需提供的应出具书面说明和证明文件； 6）参加政府采购活动前3年内在经营 活动中没有重大违法记录的书面声明； 7）法人代表授权书（或单位负责人证明书)。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1）具有独立承担民事责任的能力并在中华人民共和国境内注册，提供注册登记凭证（营业执照、其他组织经营的合法凭证， 自然人的提供身份证明文件）。 2）具有良好的商业信誉和健全的财务会计制度，提供2022年度 或2023年度经审计的财务报告（包括四表一注,即资产负债表、利润表、现金流量表、所有者权 益变动表及其附注），且无反对意见；事业法人提供部门决算报告；/或在磋商截止日期前六个 月内其基本开户银行出具的资信证明(附《基本存款账户信息》或《银行开户许可证》复印件） ；/或财政部门认可的政府采购专业担保机构出具的投标担保函；以上三种形式的资料提供任何 一种即可。 3）具有履行合同所必需的设备和专业技术能力提供声明文件。 4）具有依法缴纳税 收的良好记录提供缴费所属日期为磋商截止时间前12个月内任一月份（磋商截止时间当月不计 入）的增值税（或所得税）缴费凭据或税务机关出具的完税证明/在法规范围内不需提供的应出 具书面说明和证明文件； 5)具有依法缴纳社会保障资金的良好记录提供缴费所属日期为磋商截 止时间前12个月内任一月份（磋商截止时间当月不计入）的缴费凭据或社保机关出具的缴费证 明/在法规范围内不需提供的应出具书面说明和证明文件； 6）参加政府采购活动前3年内在经营 活动中没有重大违法记录的书面声明； 7）法人代表授权书（或单位负责人证明书)。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1）具有独立承担民事责任的能力并在中华人民共和国境内注册，提供注册登记凭证（营业执照、其他组织经营的合法凭证， 自然人的提供身份证明文件）。 2）具有良好的商业信誉和健全的财务会计制度，提供2022年度 或2023年度经审计的财务报告（包括四表一注,即资产负债表、利润表、现金流量表、所有者权 益变动表及其附注），且无反对意见；事业法人提供部门决算报告；/或在磋商截止日期前六个 月内其基本开户银行出具的资信证明(附《基本存款账户信息》或《银行开户许可证》复印件） ；/或财政部门认可的政府采购专业担保机构出具的投标担保函；以上三种形式的资料提供任何 一种即可。 3）具有履行合同所必需的设备和专业技术能力提供声明文件。 4）具有依法缴纳税 收的良好记录提供缴费所属日期为磋商截止时间前12个月内任一月份（磋商截止时间当月不计 入）的增值税（或所得税）缴费凭据或税务机关出具的完税证明/在法规范围内不需提供的应出 具书面说明和证明文件； 5)具有依法缴纳社会保障资金的良好记录提供缴费所属日期为磋商截 止时间前12个月内任一月份（磋商截止时间当月不计入）的缴费凭据或社保机关出具的缴费证 明/在法规范围内不需提供的应出具书面说明和证明文件； 6）参加政府采购活动前3年内在经营 活动中没有重大违法记录的书面声明； 7）法人代表授权书（或单位负责人证明书)。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供应商应提交的资格证明文件附件.docx 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供应商应提交的资格证明文件附件.docx 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供应商应提交的资格证明文件附件.docx 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供应商应提交的资格证明文件附件.docx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响应文件的签署、加盖印章是否齐全；必须提 供的各种证明文件、数据、资料是否齐全。</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 报价有效期是否符合磋商文件的要求；响应文 件内容是否符合国家法律法规，是否有重大偏 离；对磋商文件中规定的要求是否做出了实质 性响应。</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响应文件的签署、加盖印章是否齐全；必须提 供的各种证明文件、数据、资料是否齐全。</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 报价有效期是否符合磋商文件的要求；响应文 件内容是否符合国家法律法规，是否有重大偏 离；对磋商文件中规定的要求是否做出了实质 性响应。</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响应文件的签署、加盖印章是否齐全；必须提 供的各种证明文件、数据、资料是否齐全。</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 报价有效期是否符合磋商文件的要求；响应文 件内容是否符合国家法律法规，是否有重大偏 离；对磋商文件中规定的要求是否做出了实质 性响应。</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响应文件的签署、加盖印章是否齐全；必须提 供的各种证明文件、数据、资料是否齐全。</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 报价有效期是否符合磋商文件的要求；响应文 件内容是否符合国家法律法规，是否有重大偏 离；对磋商文件中规定的要求是否做出了实质 性响应。</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课题负责人研究能力</w:t>
            </w:r>
          </w:p>
        </w:tc>
        <w:tc>
          <w:tcPr>
            <w:tcW w:type="dxa" w:w="2492"/>
          </w:tcPr>
          <w:p>
            <w:pPr>
              <w:pStyle w:val="null3"/>
            </w:pPr>
            <w:r>
              <w:rPr>
                <w:rFonts w:ascii="仿宋_GB2312" w:hAnsi="仿宋_GB2312" w:cs="仿宋_GB2312" w:eastAsia="仿宋_GB2312"/>
              </w:rPr>
              <w:t>1.课题负责人近五年有1项相关的研究课题，省级以上加3分；市级加2分，加满至10分为止；2.课题负责人近五年发表1篇与本课题相关的研究成果加3分；加满至10分为止。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课题组成员研究能力</w:t>
            </w:r>
          </w:p>
        </w:tc>
        <w:tc>
          <w:tcPr>
            <w:tcW w:type="dxa" w:w="2492"/>
          </w:tcPr>
          <w:p>
            <w:pPr>
              <w:pStyle w:val="null3"/>
            </w:pPr>
            <w:r>
              <w:rPr>
                <w:rFonts w:ascii="仿宋_GB2312" w:hAnsi="仿宋_GB2312" w:cs="仿宋_GB2312" w:eastAsia="仿宋_GB2312"/>
              </w:rPr>
              <w:t>课题组成员中，每有1位副高级职称（含）以上成员得3分，每有1位中级职称的加2分，每有1位初级职称的加1分，加满至10分为止。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研究方法</w:t>
            </w:r>
          </w:p>
        </w:tc>
        <w:tc>
          <w:tcPr>
            <w:tcW w:type="dxa" w:w="2492"/>
          </w:tcPr>
          <w:p>
            <w:pPr>
              <w:pStyle w:val="null3"/>
            </w:pPr>
            <w:r>
              <w:rPr>
                <w:rFonts w:ascii="仿宋_GB2312" w:hAnsi="仿宋_GB2312" w:cs="仿宋_GB2312" w:eastAsia="仿宋_GB2312"/>
              </w:rPr>
              <w:t>研究方法科学，研究手段和途径可行。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报告大纲</w:t>
            </w:r>
          </w:p>
        </w:tc>
        <w:tc>
          <w:tcPr>
            <w:tcW w:type="dxa" w:w="2492"/>
          </w:tcPr>
          <w:p>
            <w:pPr>
              <w:pStyle w:val="null3"/>
            </w:pPr>
            <w:r>
              <w:rPr>
                <w:rFonts w:ascii="仿宋_GB2312" w:hAnsi="仿宋_GB2312" w:cs="仿宋_GB2312" w:eastAsia="仿宋_GB2312"/>
              </w:rPr>
              <w:t>课题组能根据课题的实际需求设计课题报告大纲，以五经普数据为研究支撑，结构完整、层次清晰，分析角度全面、研究内容详实深入、数据利用充分。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研究重点、难点分析</w:t>
            </w:r>
          </w:p>
        </w:tc>
        <w:tc>
          <w:tcPr>
            <w:tcW w:type="dxa" w:w="2492"/>
          </w:tcPr>
          <w:p>
            <w:pPr>
              <w:pStyle w:val="null3"/>
            </w:pPr>
            <w:r>
              <w:rPr>
                <w:rFonts w:ascii="仿宋_GB2312" w:hAnsi="仿宋_GB2312" w:cs="仿宋_GB2312" w:eastAsia="仿宋_GB2312"/>
              </w:rPr>
              <w:t>研究紧密结合西安实际，重点突出，难点明确，对当前经济发展具有可行性指导意义。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创新点</w:t>
            </w:r>
          </w:p>
        </w:tc>
        <w:tc>
          <w:tcPr>
            <w:tcW w:type="dxa" w:w="2492"/>
          </w:tcPr>
          <w:p>
            <w:pPr>
              <w:pStyle w:val="null3"/>
            </w:pPr>
            <w:r>
              <w:rPr>
                <w:rFonts w:ascii="仿宋_GB2312" w:hAnsi="仿宋_GB2312" w:cs="仿宋_GB2312" w:eastAsia="仿宋_GB2312"/>
              </w:rPr>
              <w:t>研究以当前最新政策为导向，在研究思路、研究方法、研究视角或研究内容上有创新。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高限价为人民币8万元，超出限价为无效报价；报价低于最高限价80%的需另外提交经费合理化测算依据，不能提交合理化依据视为无效报价。经评标委员会一致认定满足招标文件要求且价格最低的投标报价为评审基准价，其价格分为满分。其他投标人的价格统一按照下列公式计算： 投标报价得分=（评标基准价/投标报价）×10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课题负责人研究能力</w:t>
            </w:r>
          </w:p>
        </w:tc>
        <w:tc>
          <w:tcPr>
            <w:tcW w:type="dxa" w:w="2492"/>
          </w:tcPr>
          <w:p>
            <w:pPr>
              <w:pStyle w:val="null3"/>
            </w:pPr>
            <w:r>
              <w:rPr>
                <w:rFonts w:ascii="仿宋_GB2312" w:hAnsi="仿宋_GB2312" w:cs="仿宋_GB2312" w:eastAsia="仿宋_GB2312"/>
              </w:rPr>
              <w:t>1.课题负责人近五年有1项相关的研究课题，省级以上加3分;市级加2分，加满至10分为止:2.课题负责近五年发表1篇与本课题相关的研究成果加3分;加满至10分为止。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课题组成员研究能力</w:t>
            </w:r>
          </w:p>
        </w:tc>
        <w:tc>
          <w:tcPr>
            <w:tcW w:type="dxa" w:w="2492"/>
          </w:tcPr>
          <w:p>
            <w:pPr>
              <w:pStyle w:val="null3"/>
            </w:pPr>
            <w:r>
              <w:rPr>
                <w:rFonts w:ascii="仿宋_GB2312" w:hAnsi="仿宋_GB2312" w:cs="仿宋_GB2312" w:eastAsia="仿宋_GB2312"/>
              </w:rPr>
              <w:t>课题组成员中，每有1位副高级职称（含）以上成员得3分，每有1位中级职称的加2分，每有1位初级职称的加1分，加满至10分为止。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研究方法</w:t>
            </w:r>
          </w:p>
        </w:tc>
        <w:tc>
          <w:tcPr>
            <w:tcW w:type="dxa" w:w="2492"/>
          </w:tcPr>
          <w:p>
            <w:pPr>
              <w:pStyle w:val="null3"/>
            </w:pPr>
            <w:r>
              <w:rPr>
                <w:rFonts w:ascii="仿宋_GB2312" w:hAnsi="仿宋_GB2312" w:cs="仿宋_GB2312" w:eastAsia="仿宋_GB2312"/>
              </w:rPr>
              <w:t>研究方法科学，研究手段和途径可行。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报告大纲</w:t>
            </w:r>
          </w:p>
        </w:tc>
        <w:tc>
          <w:tcPr>
            <w:tcW w:type="dxa" w:w="2492"/>
          </w:tcPr>
          <w:p>
            <w:pPr>
              <w:pStyle w:val="null3"/>
            </w:pPr>
            <w:r>
              <w:rPr>
                <w:rFonts w:ascii="仿宋_GB2312" w:hAnsi="仿宋_GB2312" w:cs="仿宋_GB2312" w:eastAsia="仿宋_GB2312"/>
              </w:rPr>
              <w:t>课题组能根据课题的实际需求设计课题报告大纲，以五经普数据为研究支撑，结构完整、层次清晰，分析角度全面、研究内容详实深入、数据利用充分。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研究重点、难点分析</w:t>
            </w:r>
          </w:p>
        </w:tc>
        <w:tc>
          <w:tcPr>
            <w:tcW w:type="dxa" w:w="2492"/>
          </w:tcPr>
          <w:p>
            <w:pPr>
              <w:pStyle w:val="null3"/>
            </w:pPr>
            <w:r>
              <w:rPr>
                <w:rFonts w:ascii="仿宋_GB2312" w:hAnsi="仿宋_GB2312" w:cs="仿宋_GB2312" w:eastAsia="仿宋_GB2312"/>
              </w:rPr>
              <w:t>研究紧密结合西安实际，重点突出，难点明确，对当前经济发展具有可行性指导意义。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创新点</w:t>
            </w:r>
          </w:p>
        </w:tc>
        <w:tc>
          <w:tcPr>
            <w:tcW w:type="dxa" w:w="2492"/>
          </w:tcPr>
          <w:p>
            <w:pPr>
              <w:pStyle w:val="null3"/>
            </w:pPr>
            <w:r>
              <w:rPr>
                <w:rFonts w:ascii="仿宋_GB2312" w:hAnsi="仿宋_GB2312" w:cs="仿宋_GB2312" w:eastAsia="仿宋_GB2312"/>
              </w:rPr>
              <w:t>研究以当前最新政策为导向，在研究思路、研究方法、研究视角或研究内容上有创新。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高限价为人民币8万元，超出限价为无效报价；报价低于最高限价80%的需另外提交经费合理化测算依据，不能提交合理化依据视为无效报价。经评标委员会一致认定满足招标文件要求且价格最低的投标报价为评审基准价，其价格分为满分。其他投标人的价格统一按照下列公式计算： 投标报价得分=（评标基准价/投标报价）×10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课题负责人研究能力</w:t>
            </w:r>
          </w:p>
        </w:tc>
        <w:tc>
          <w:tcPr>
            <w:tcW w:type="dxa" w:w="2492"/>
          </w:tcPr>
          <w:p>
            <w:pPr>
              <w:pStyle w:val="null3"/>
            </w:pPr>
            <w:r>
              <w:rPr>
                <w:rFonts w:ascii="仿宋_GB2312" w:hAnsi="仿宋_GB2312" w:cs="仿宋_GB2312" w:eastAsia="仿宋_GB2312"/>
              </w:rPr>
              <w:t>1.课题负责人近五年有1项相关的研究课题，省级以上加3分；市级加2分，加满至10分为止；2.课题负责人近五年发表1篇与本课题相关的研究成果加3分；加满至10分为止。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课题组成员研究能力</w:t>
            </w:r>
          </w:p>
        </w:tc>
        <w:tc>
          <w:tcPr>
            <w:tcW w:type="dxa" w:w="2492"/>
          </w:tcPr>
          <w:p>
            <w:pPr>
              <w:pStyle w:val="null3"/>
            </w:pPr>
            <w:r>
              <w:rPr>
                <w:rFonts w:ascii="仿宋_GB2312" w:hAnsi="仿宋_GB2312" w:cs="仿宋_GB2312" w:eastAsia="仿宋_GB2312"/>
              </w:rPr>
              <w:t>课题组成员中，每有1位副高级职称（含）以上成员得3分，每有1位中级职称的加2分，每有1位初级职称的加1分，加满至10分为止。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研究方法</w:t>
            </w:r>
          </w:p>
        </w:tc>
        <w:tc>
          <w:tcPr>
            <w:tcW w:type="dxa" w:w="2492"/>
          </w:tcPr>
          <w:p>
            <w:pPr>
              <w:pStyle w:val="null3"/>
            </w:pPr>
            <w:r>
              <w:rPr>
                <w:rFonts w:ascii="仿宋_GB2312" w:hAnsi="仿宋_GB2312" w:cs="仿宋_GB2312" w:eastAsia="仿宋_GB2312"/>
              </w:rPr>
              <w:t>研究方法科学，研究手段和途径可行。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报告大纲</w:t>
            </w:r>
          </w:p>
        </w:tc>
        <w:tc>
          <w:tcPr>
            <w:tcW w:type="dxa" w:w="2492"/>
          </w:tcPr>
          <w:p>
            <w:pPr>
              <w:pStyle w:val="null3"/>
            </w:pPr>
            <w:r>
              <w:rPr>
                <w:rFonts w:ascii="仿宋_GB2312" w:hAnsi="仿宋_GB2312" w:cs="仿宋_GB2312" w:eastAsia="仿宋_GB2312"/>
              </w:rPr>
              <w:t>课题组能根据课题的实际需求设计课题报告大纲，以五经普数据为研究支撑，结构完整、层次清晰，分析角度全面、研究内容详实深入、数据利用充分。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研究重点、难点分析</w:t>
            </w:r>
          </w:p>
        </w:tc>
        <w:tc>
          <w:tcPr>
            <w:tcW w:type="dxa" w:w="2492"/>
          </w:tcPr>
          <w:p>
            <w:pPr>
              <w:pStyle w:val="null3"/>
            </w:pPr>
            <w:r>
              <w:rPr>
                <w:rFonts w:ascii="仿宋_GB2312" w:hAnsi="仿宋_GB2312" w:cs="仿宋_GB2312" w:eastAsia="仿宋_GB2312"/>
              </w:rPr>
              <w:t>研究紧密结合西安实际，重点突出，难点明确，对当前经济发展具有可行性指导意义。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创新点</w:t>
            </w:r>
          </w:p>
        </w:tc>
        <w:tc>
          <w:tcPr>
            <w:tcW w:type="dxa" w:w="2492"/>
          </w:tcPr>
          <w:p>
            <w:pPr>
              <w:pStyle w:val="null3"/>
            </w:pPr>
            <w:r>
              <w:rPr>
                <w:rFonts w:ascii="仿宋_GB2312" w:hAnsi="仿宋_GB2312" w:cs="仿宋_GB2312" w:eastAsia="仿宋_GB2312"/>
              </w:rPr>
              <w:t>研究以当前最新政策为导向，在研究思路、研究方法、研究视角或研究内容上有创新。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高限价为人民币8万元，超出限价为无效报价；报价低于最高限价80%的需另外提交经费合理化测算依据，不能提交合理化依据视为无效报价。经评标委员会一致认定满足招标文件要求且价格最低的投标报价为评审基准价，其价格分为满分。其他投标人的价格统一按照下列公式计算： 投标报价得分=（评标基准价/投标报价）×10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课题负责人研究能力</w:t>
            </w:r>
          </w:p>
        </w:tc>
        <w:tc>
          <w:tcPr>
            <w:tcW w:type="dxa" w:w="2492"/>
          </w:tcPr>
          <w:p>
            <w:pPr>
              <w:pStyle w:val="null3"/>
            </w:pPr>
            <w:r>
              <w:rPr>
                <w:rFonts w:ascii="仿宋_GB2312" w:hAnsi="仿宋_GB2312" w:cs="仿宋_GB2312" w:eastAsia="仿宋_GB2312"/>
              </w:rPr>
              <w:t>1.课题负责人近五年有1项相关的研究课题，省级以上加3分；市级加2分，加满至10分为止；2.课题负责人近五年发表1篇与本课题相关的研究成果加3分；加满至10分为止。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课题组成员研究能力</w:t>
            </w:r>
          </w:p>
        </w:tc>
        <w:tc>
          <w:tcPr>
            <w:tcW w:type="dxa" w:w="2492"/>
          </w:tcPr>
          <w:p>
            <w:pPr>
              <w:pStyle w:val="null3"/>
            </w:pPr>
            <w:r>
              <w:rPr>
                <w:rFonts w:ascii="仿宋_GB2312" w:hAnsi="仿宋_GB2312" w:cs="仿宋_GB2312" w:eastAsia="仿宋_GB2312"/>
              </w:rPr>
              <w:t>课题组成员中，每有1位副高级职称（含）以上成员得3分，每有1位中级职称的加2分，每有1位初级职称的加1分，加满至10分为止。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研究方法</w:t>
            </w:r>
          </w:p>
        </w:tc>
        <w:tc>
          <w:tcPr>
            <w:tcW w:type="dxa" w:w="2492"/>
          </w:tcPr>
          <w:p>
            <w:pPr>
              <w:pStyle w:val="null3"/>
            </w:pPr>
            <w:r>
              <w:rPr>
                <w:rFonts w:ascii="仿宋_GB2312" w:hAnsi="仿宋_GB2312" w:cs="仿宋_GB2312" w:eastAsia="仿宋_GB2312"/>
              </w:rPr>
              <w:t>研究方法科学，研究手段和途径可行。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报告大纲</w:t>
            </w:r>
          </w:p>
        </w:tc>
        <w:tc>
          <w:tcPr>
            <w:tcW w:type="dxa" w:w="2492"/>
          </w:tcPr>
          <w:p>
            <w:pPr>
              <w:pStyle w:val="null3"/>
            </w:pPr>
            <w:r>
              <w:rPr>
                <w:rFonts w:ascii="仿宋_GB2312" w:hAnsi="仿宋_GB2312" w:cs="仿宋_GB2312" w:eastAsia="仿宋_GB2312"/>
              </w:rPr>
              <w:t>课题组能根据课题的实际需求设计课题报告大纲，以五经普数据为研究支撑，结构完整、层次清晰，分析角度全面、研究内容详实深入、数据利用充分。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研究重点、难点分析</w:t>
            </w:r>
          </w:p>
        </w:tc>
        <w:tc>
          <w:tcPr>
            <w:tcW w:type="dxa" w:w="2492"/>
          </w:tcPr>
          <w:p>
            <w:pPr>
              <w:pStyle w:val="null3"/>
            </w:pPr>
            <w:r>
              <w:rPr>
                <w:rFonts w:ascii="仿宋_GB2312" w:hAnsi="仿宋_GB2312" w:cs="仿宋_GB2312" w:eastAsia="仿宋_GB2312"/>
              </w:rPr>
              <w:t>研究紧密结合西安实际，重点突出，难点明确，对当前经济发展具有可行性指导意义。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创新点</w:t>
            </w:r>
          </w:p>
        </w:tc>
        <w:tc>
          <w:tcPr>
            <w:tcW w:type="dxa" w:w="2492"/>
          </w:tcPr>
          <w:p>
            <w:pPr>
              <w:pStyle w:val="null3"/>
            </w:pPr>
            <w:r>
              <w:rPr>
                <w:rFonts w:ascii="仿宋_GB2312" w:hAnsi="仿宋_GB2312" w:cs="仿宋_GB2312" w:eastAsia="仿宋_GB2312"/>
              </w:rPr>
              <w:t>研究以当前最新政策为导向，在研究思路、研究方法、研究视角或研究内容上有创新。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高限价为人民币8万元，超出限价为无效报价；报价低于最高限价80%的需另外提交经费合理化测算依据，不能提交合理化依据视为无效报价。经评标委员会一致认定满足招标文件要求且价格最低的投标报价为评审基准价，其价格分为满分。其他投标人的价格统一按照下列公式计算： 投标报价得分=（评标基准价/投标报价）×10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详见附件：供应商应提交的资格证明文件附件.docx</w:t>
      </w:r>
    </w:p>
    <w:p>
      <w:pPr>
        <w:pStyle w:val="null3"/>
        <w:ind w:firstLine="960"/>
      </w:pPr>
      <w:r>
        <w:rPr>
          <w:rFonts w:ascii="仿宋_GB2312" w:hAnsi="仿宋_GB2312" w:cs="仿宋_GB2312" w:eastAsia="仿宋_GB2312"/>
        </w:rPr>
        <w:t>详见附件：服务方案附件.docx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详见附件：供应商应提交的资格证明文件附件.docx</w:t>
      </w:r>
    </w:p>
    <w:p>
      <w:pPr>
        <w:pStyle w:val="null3"/>
        <w:ind w:firstLine="960"/>
      </w:pPr>
      <w:r>
        <w:rPr>
          <w:rFonts w:ascii="仿宋_GB2312" w:hAnsi="仿宋_GB2312" w:cs="仿宋_GB2312" w:eastAsia="仿宋_GB2312"/>
        </w:rPr>
        <w:t>详见附件：服务方案附件.docx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详见附件：供应商应提交的资格证明文件附件.docx</w:t>
      </w:r>
    </w:p>
    <w:p>
      <w:pPr>
        <w:pStyle w:val="null3"/>
        <w:ind w:firstLine="960"/>
      </w:pPr>
      <w:r>
        <w:rPr>
          <w:rFonts w:ascii="仿宋_GB2312" w:hAnsi="仿宋_GB2312" w:cs="仿宋_GB2312" w:eastAsia="仿宋_GB2312"/>
        </w:rPr>
        <w:t>详见附件：服务方案附件.docx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详见附件：供应商应提交的资格证明文件附件.docx</w:t>
      </w:r>
    </w:p>
    <w:p>
      <w:pPr>
        <w:pStyle w:val="null3"/>
        <w:ind w:firstLine="960"/>
      </w:pPr>
      <w:r>
        <w:rPr>
          <w:rFonts w:ascii="仿宋_GB2312" w:hAnsi="仿宋_GB2312" w:cs="仿宋_GB2312" w:eastAsia="仿宋_GB2312"/>
        </w:rPr>
        <w:t>详见附件：服务方案附件.docx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详见附件：五经普课题研究招标合同-5.19修.docx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