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版本号：XAZTBZFCG-2025-00220250520001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日常教学办公运转保障-陕西省教博会布展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XAZTBZFCG-2025-002</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陕西国铁经营服务有限公司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陕西国铁经营服务有限公司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日常教学办公运转保障-陕西省教博会布展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XAZTBZFCG-2025-002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日常教学办公运转保障-陕西省教博会布展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2025年第十三届陕西教育博览会计划展位布展（特型展位16个）面积 144㎡，项目地点在西安国际会展中心室内展馆。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采购包1（日常教学办公运转保障-陕西省教博会布展）：属于专门面向中小企业采购。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磋商全过程，其中法定代表人直接参加磋商的，须出具法定代表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2、信誉：不得为“信用中国”网站(http://www.creditchina.gov.cn)列入“失信被执行人、税收违法黑名单、政府采购严重违法失信行为记录名单”的投标方；不得为中国政府采购网(http://www.ccgp.gov.cn)“政府采购严重违法失信行为记录名单”中的供应商</w:t>
      </w:r>
    </w:p>
    <w:p>
      <w:pPr>
        <w:pStyle w:val="null3"/>
      </w:pPr>
      <w:r>
        <w:rPr>
          <w:rFonts w:ascii="仿宋_GB2312" w:hAnsi="仿宋_GB2312" w:cs="仿宋_GB2312" w:eastAsia="仿宋_GB2312"/>
        </w:rPr>
        <w:t>3、本项目不接受联合体投标：本项目不接受联合体磋商，（投标主体为单一供应商，无需提供证明材料）</w:t>
      </w:r>
    </w:p>
    <w:p>
      <w:pPr>
        <w:pStyle w:val="null3"/>
      </w:pPr>
      <w:r>
        <w:rPr>
          <w:rFonts w:ascii="仿宋_GB2312" w:hAnsi="仿宋_GB2312" w:cs="仿宋_GB2312" w:eastAsia="仿宋_GB2312"/>
        </w:rPr>
        <w:t>4、是否面向中、小企业采购：本项目为专门面向中、小企业项目，供应商应为中型企业、小型企业或微型企业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西安铁路职业技术学院经办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15991266899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陕西国铁经营服务有限公司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陕西省西安市碑林区陕西省西安市碑林区友谊东路33号西安铁路局机关院内调度楼9楼101号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陈彦名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15229267500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说明：账户名称:西安市财政局预算单位实有资金财政代管账户 开户银行:中国建设银行股份有限公司西安莲湖路支行 银行账号:61001711100052518874-203033</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见国家计委颁布的《招标代理服务费收费管理暂行办法》（计价格[2002]1980号）中服务类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陕西国铁经营服务有限公司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陕西国铁经营服务有限公司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陕西国铁经营服务有限公司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联系电话：15229267500</w:t>
      </w:r>
    </w:p>
    <w:p>
      <w:pPr>
        <w:pStyle w:val="null3"/>
      </w:pPr>
      <w:r>
        <w:rPr>
          <w:rFonts w:ascii="仿宋_GB2312" w:hAnsi="仿宋_GB2312" w:cs="仿宋_GB2312" w:eastAsia="仿宋_GB2312"/>
        </w:rPr>
        <w:t>地址：西安市碑林区友谊东路与兴庆西路十字西北角裙楼二楼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2025年第十三届陕西教育博览会计划展位布展（特型展位16个）面积 144㎡，项目地点在西安国际会展中心室内展馆。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陕西省教博会布展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标的名称：陕西省教博会布展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一、服务内容</w:t>
            </w:r>
            <w:r>
              <w:rPr>
                <w:rFonts w:ascii="仿宋_GB2312" w:hAnsi="仿宋_GB2312" w:cs="仿宋_GB2312" w:eastAsia="仿宋_GB2312"/>
                <w:sz w:val="28"/>
                <w:b/>
              </w:rPr>
              <w:t>（包括工作区域、工作内容等）</w:t>
            </w:r>
          </w:p>
          <w:p>
            <w:pPr>
              <w:pStyle w:val="null3"/>
              <w:ind w:firstLine="560"/>
              <w:jc w:val="both"/>
            </w:pPr>
            <w:r>
              <w:rPr>
                <w:rFonts w:ascii="仿宋_GB2312" w:hAnsi="仿宋_GB2312" w:cs="仿宋_GB2312" w:eastAsia="仿宋_GB2312"/>
                <w:sz w:val="28"/>
              </w:rPr>
              <w:t>1、设计要突出主题，现代、简约、通透，合理运用空间，既要充分展示，又要确保人流通畅、整体安全。</w:t>
            </w:r>
          </w:p>
          <w:p>
            <w:pPr>
              <w:pStyle w:val="null3"/>
              <w:ind w:firstLine="560"/>
              <w:jc w:val="both"/>
            </w:pPr>
            <w:r>
              <w:rPr>
                <w:rFonts w:ascii="仿宋_GB2312" w:hAnsi="仿宋_GB2312" w:cs="仿宋_GB2312" w:eastAsia="仿宋_GB2312"/>
                <w:sz w:val="28"/>
              </w:rPr>
              <w:t>2、采用现代声、光、电等技术，充分利用实体空间和多维空间展示学校办学特色，设计时需要灯箱展板18块左右，摆放5项左右科技成果的展台。</w:t>
            </w:r>
          </w:p>
          <w:p>
            <w:pPr>
              <w:pStyle w:val="null3"/>
              <w:ind w:firstLine="562"/>
              <w:jc w:val="both"/>
            </w:pPr>
            <w:r>
              <w:rPr>
                <w:rFonts w:ascii="仿宋_GB2312" w:hAnsi="仿宋_GB2312" w:cs="仿宋_GB2312" w:eastAsia="仿宋_GB2312"/>
                <w:sz w:val="28"/>
                <w:b/>
              </w:rPr>
              <w:t>二、技术要求</w:t>
            </w:r>
            <w:r>
              <w:rPr>
                <w:rFonts w:ascii="仿宋_GB2312" w:hAnsi="仿宋_GB2312" w:cs="仿宋_GB2312" w:eastAsia="仿宋_GB2312"/>
                <w:sz w:val="28"/>
                <w:b/>
              </w:rPr>
              <w:t>（如有，一般适合于技术服务项目）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、布展公司需提供</w:t>
            </w:r>
            <w:r>
              <w:rPr>
                <w:rFonts w:ascii="仿宋_GB2312" w:hAnsi="仿宋_GB2312" w:cs="仿宋_GB2312" w:eastAsia="仿宋_GB2312"/>
                <w:sz w:val="28"/>
              </w:rPr>
              <w:t>1至3个项目设计方案效果图供选择，并允许在实施过程中对选定的方案进行不大于20%的设计更改。</w:t>
            </w:r>
          </w:p>
          <w:p>
            <w:pPr>
              <w:pStyle w:val="null3"/>
              <w:ind w:firstLine="562"/>
              <w:jc w:val="both"/>
            </w:pPr>
            <w:r>
              <w:rPr>
                <w:rFonts w:ascii="仿宋_GB2312" w:hAnsi="仿宋_GB2312" w:cs="仿宋_GB2312" w:eastAsia="仿宋_GB2312"/>
                <w:sz w:val="28"/>
                <w:b/>
              </w:rPr>
              <w:t>三、服务要求</w:t>
            </w:r>
            <w:r>
              <w:rPr>
                <w:rFonts w:ascii="仿宋_GB2312" w:hAnsi="仿宋_GB2312" w:cs="仿宋_GB2312" w:eastAsia="仿宋_GB2312"/>
                <w:sz w:val="28"/>
                <w:b/>
              </w:rPr>
              <w:t>（如对人员配置、专业设备、服务标准等）</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、布展公司在装饰期间，要抓好施工期间的安全管理工作，要自行负责施工人员的安全。</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、布展含设计、制作、运输，施工搭建及撤展等全流程工作。</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、严格按照教博会组委会参展手册要求进行布展相关工作。</w:t>
            </w:r>
          </w:p>
          <w:p>
            <w:pPr>
              <w:pStyle w:val="null3"/>
              <w:ind w:firstLine="562"/>
              <w:jc w:val="both"/>
            </w:pPr>
            <w:r>
              <w:rPr>
                <w:rFonts w:ascii="仿宋_GB2312" w:hAnsi="仿宋_GB2312" w:cs="仿宋_GB2312" w:eastAsia="仿宋_GB2312"/>
                <w:sz w:val="28"/>
                <w:b/>
              </w:rPr>
              <w:t>五、商务要求</w:t>
            </w:r>
            <w:r>
              <w:rPr>
                <w:rFonts w:ascii="仿宋_GB2312" w:hAnsi="仿宋_GB2312" w:cs="仿宋_GB2312" w:eastAsia="仿宋_GB2312"/>
                <w:sz w:val="28"/>
                <w:b/>
              </w:rPr>
              <w:t>（如服务期限、款项结算等）</w:t>
            </w:r>
          </w:p>
          <w:p>
            <w:pPr>
              <w:pStyle w:val="null3"/>
              <w:ind w:firstLine="560"/>
              <w:jc w:val="both"/>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2025年6月26日教博会参展结束。</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项目验收合格后一次性结算。</w:t>
            </w:r>
          </w:p>
          <w:p>
            <w:pPr>
              <w:pStyle w:val="null3"/>
              <w:ind w:firstLine="562"/>
              <w:jc w:val="both"/>
            </w:pPr>
            <w:r>
              <w:rPr>
                <w:rFonts w:ascii="仿宋_GB2312" w:hAnsi="仿宋_GB2312" w:cs="仿宋_GB2312" w:eastAsia="仿宋_GB2312"/>
                <w:sz w:val="28"/>
                <w:b/>
              </w:rPr>
              <w:t>六、其他</w:t>
            </w:r>
            <w:r>
              <w:rPr>
                <w:rFonts w:ascii="仿宋_GB2312" w:hAnsi="仿宋_GB2312" w:cs="仿宋_GB2312" w:eastAsia="仿宋_GB2312"/>
                <w:sz w:val="28"/>
                <w:b/>
              </w:rPr>
              <w:t>（如有要求，请写明）</w:t>
            </w:r>
          </w:p>
          <w:p>
            <w:pPr>
              <w:pStyle w:val="null3"/>
              <w:ind w:firstLine="560"/>
              <w:jc w:val="both"/>
            </w:pPr>
            <w:r>
              <w:rPr>
                <w:rFonts w:ascii="仿宋_GB2312" w:hAnsi="仿宋_GB2312" w:cs="仿宋_GB2312" w:eastAsia="仿宋_GB2312"/>
                <w:sz w:val="28"/>
              </w:rPr>
              <w:t>（一）进度要求</w:t>
            </w:r>
          </w:p>
          <w:p>
            <w:pPr>
              <w:pStyle w:val="null3"/>
              <w:ind w:firstLine="560"/>
              <w:jc w:val="both"/>
            </w:pPr>
            <w:r>
              <w:rPr>
                <w:rFonts w:ascii="仿宋_GB2312" w:hAnsi="仿宋_GB2312" w:cs="仿宋_GB2312" w:eastAsia="仿宋_GB2312"/>
                <w:sz w:val="28"/>
              </w:rPr>
              <w:t>按照教博会组委会要求，须在</w:t>
            </w:r>
            <w:r>
              <w:rPr>
                <w:rFonts w:ascii="仿宋_GB2312" w:hAnsi="仿宋_GB2312" w:cs="仿宋_GB2312" w:eastAsia="仿宋_GB2312"/>
                <w:sz w:val="28"/>
              </w:rPr>
              <w:t>2025年6月22日至23日期间完成布展。</w:t>
            </w:r>
          </w:p>
          <w:p>
            <w:pPr>
              <w:pStyle w:val="null3"/>
              <w:ind w:firstLine="560"/>
              <w:jc w:val="both"/>
            </w:pPr>
            <w:r>
              <w:rPr>
                <w:rFonts w:ascii="仿宋_GB2312" w:hAnsi="仿宋_GB2312" w:cs="仿宋_GB2312" w:eastAsia="仿宋_GB2312"/>
                <w:sz w:val="28"/>
              </w:rPr>
              <w:t>（二）成果交付要求</w:t>
            </w:r>
          </w:p>
          <w:p>
            <w:pPr>
              <w:pStyle w:val="null3"/>
              <w:ind w:firstLine="560"/>
              <w:jc w:val="both"/>
            </w:pPr>
            <w:r>
              <w:rPr>
                <w:rFonts w:ascii="仿宋_GB2312" w:hAnsi="仿宋_GB2312" w:cs="仿宋_GB2312" w:eastAsia="仿宋_GB2312"/>
                <w:sz w:val="28"/>
              </w:rPr>
              <w:t>布展效果需满足最终确定的设计方案，并符合教博会组委会参展手册的相关规定要求。</w:t>
            </w:r>
          </w:p>
          <w:p>
            <w:pPr>
              <w:pStyle w:val="null3"/>
              <w:ind w:firstLine="560"/>
              <w:jc w:val="both"/>
            </w:pPr>
            <w:r>
              <w:rPr>
                <w:rFonts w:ascii="仿宋_GB2312" w:hAnsi="仿宋_GB2312" w:cs="仿宋_GB2312" w:eastAsia="仿宋_GB2312"/>
                <w:sz w:val="28"/>
              </w:rPr>
              <w:t>（三）质量验收标准或规范</w:t>
            </w:r>
          </w:p>
          <w:p>
            <w:pPr>
              <w:pStyle w:val="null3"/>
              <w:ind w:firstLine="560"/>
              <w:jc w:val="both"/>
            </w:pPr>
            <w:r>
              <w:rPr>
                <w:rFonts w:ascii="仿宋_GB2312" w:hAnsi="仿宋_GB2312" w:cs="仿宋_GB2312" w:eastAsia="仿宋_GB2312"/>
                <w:sz w:val="28"/>
              </w:rPr>
              <w:t>满足采购人的验收标准。</w:t>
            </w:r>
          </w:p>
          <w:p>
            <w:pPr>
              <w:pStyle w:val="null3"/>
              <w:ind w:firstLine="560"/>
              <w:jc w:val="both"/>
            </w:pPr>
            <w:r>
              <w:rPr>
                <w:rFonts w:ascii="仿宋_GB2312" w:hAnsi="仿宋_GB2312" w:cs="仿宋_GB2312" w:eastAsia="仿宋_GB2312"/>
                <w:sz w:val="28"/>
              </w:rPr>
              <w:t>（四）违约责任</w:t>
            </w:r>
          </w:p>
          <w:p>
            <w:pPr>
              <w:pStyle w:val="null3"/>
              <w:ind w:firstLine="560"/>
              <w:jc w:val="both"/>
            </w:pPr>
            <w:r>
              <w:rPr>
                <w:rFonts w:ascii="仿宋_GB2312" w:hAnsi="仿宋_GB2312" w:cs="仿宋_GB2312" w:eastAsia="仿宋_GB2312"/>
                <w:sz w:val="28"/>
              </w:rPr>
              <w:t>一般与合同款项的支付相关，注意不要超出《民法典》中对于违约的责任上限。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合同签订之日起至2025年6月26日教博会参展结束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西安国际会展中心室内展馆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按照教博会组委会要求，须在2025年6月22日至23日期间完成布展;布展效果需满足最终确定的设计方案，并符合教博会组委会参展手册的相关规定要求。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1、本项目需要展示设计方案和设计效果图，开标当天以腾讯会议模式进行演示，各供应商提前准备好演示资料。 2、为顺利推进政府采购电子化交易平台试点应用工作，供应商需要在线提交所有通过电子化交易平台实施的政府采购项目的投标文件。确定成交单位后，成交单位须提供响应文件正本 壹 份、副本 壹套、电子版壹 套（U盘一套标明供应商名称），应与线上提交的响应文件保持一致。3、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资格响应表.docx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不得为“信用中国”网站(http://www.creditchina.gov.cn)列入“失信被执行人、税收违法黑名单、政府采购严重违法失信行为记录名单”的投标方；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本项目不接受联合体磋商，（投标主体为单一供应商，无需提供证明材料）</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本项目为专门面向中、小企业项目，供应商应为中型企业、小型企业或微型企业</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磋商报价表及分项报价表.docx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合同签订之日起至2025年6月26日教博会参展结束</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项目验收合格后一次性结算</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90个日历天</w:t>
            </w:r>
          </w:p>
        </w:tc>
        <w:tc>
          <w:tcPr>
            <w:tcW w:type="dxa" w:w="1661"/>
          </w:tcPr>
          <w:p>
            <w:pPr>
              <w:pStyle w:val="null3"/>
            </w:pPr>
            <w:r>
              <w:rPr>
                <w:rFonts w:ascii="仿宋_GB2312" w:hAnsi="仿宋_GB2312" w:cs="仿宋_GB2312" w:eastAsia="仿宋_GB2312"/>
              </w:rPr>
              <w:t>商务及技术偏离表.docx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针对本项目提供的整体设计方案，内容包括但不限于①整计理念；②展厅布局规划；③流线规划；④空间设计；⑤装置艺术设计；⑥照明设计、展示内容及形式说明； 二、评审标准 1、完整性：方案须全面，对评审内容中的各项要求有详细描述；2、落实性：结合项目具体情况，责任明确、要求具体；3、针对性：方案能够紧扣项目实际情况，内容科学合理。三、赋分依据（满分18分） ①整体设计理念：每完全满足一个评审标准得1分，满分3分；②展厅布局规划:每完全满足一个评审标准得1分，满分3分；③流线规划：每完全满足一个评审标准得1 分，满分3 分。④空间设计：每完全满足一个评审标准得1 分，满分3 分。⑤装置艺术设计：每完全满足一个评审标准得1分，满分3分。⑥照明设计、展示内容及形式说明：每完全满足一个评审标准得1分，满分3分。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一、评审内容：①总体安装方案；②服务能力、应急备件存储保障措施。二、评审标准：1、完整性：内容全面，对评审内容中的各项要求有详细描述；2、可行性：切合本项目实际情况，提出步骤清晰的方案；3、针对性：紧扣项目实际情况需求，内容切实合理。三、赋分标准：①总体安装方案，每完全满足一个评审标准得1分，满分3分。②服务能力、应急备件存储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①质量控制总体目标；②具体质量保障措施。二、评审标准：1、完整性：内容全面，对评审内容中的各项要求有详细描述；2、可行性：切合本项目实际情况，提出步骤清晰的方案；3、针对性：紧扣项目实际情况需求，内容切实合理。三、赋分标准：①质量控制总体目标，每完全满足一个评审标准得1分，满分3分。②具体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①总体进度计划②具体进度保证保障措施；二、评审标准：1、完整性：内容全面，对评审内容中的各项要求有详细描述；2、可行性：切合本项目实际情况，提出步骤清晰的方案；3、针对性：紧扣项目实际情况需求，内容切实合理。三、赋分标准：①总体进度计划，每完全满足一个评审标准得1分，满分3分。②具体进度保证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一、评审内容：①根据拟投入的团队人员数量；②根据拟投入的团队人员年龄；③专业经验等情况； 二、评审标准：1、团队人员数量不少于3人。2、团队人员平均年龄不超过40岁。 3、项目负责人具备5年以上工作经验，团队其余人员具备3年以上工作经验；三、赋分标准：每完全满足一个评审标准得2分，优于加1分，满分3分。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 应急预案，内容包括 ①针对本项目服务过程突发和临时事件的预计、应急处理能力；②大型活动、会议、紧急活动；③制定的应急预案。二、评审标准：1、完整性：内容全面，对评审内容中的各项要求有详细描述；2、可行性：切合本项目实际情况，提出步骤清晰的方案；3、针对性：紧扣项目实际情况需求，内容切实合理。三、赋分标准： ①针对本项目服务过程突发和临时事件的预计、应急处理能力：每完全满足一个评审标准得1分，满分3分； ②大型活动、会议、紧急活动：每完 全满足 一个评审标准得1分，满分3分； ③制定的应急预案：每完全满足一个评审标准得1分，满分3分。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安全防护措施</w:t>
            </w:r>
          </w:p>
        </w:tc>
        <w:tc>
          <w:tcPr>
            <w:tcW w:type="dxa" w:w="2492"/>
          </w:tcPr>
          <w:p>
            <w:pPr>
              <w:pStyle w:val="null3"/>
            </w:pPr>
            <w:r>
              <w:rPr>
                <w:rFonts w:ascii="仿宋_GB2312" w:hAnsi="仿宋_GB2312" w:cs="仿宋_GB2312" w:eastAsia="仿宋_GB2312"/>
              </w:rPr>
              <w:t>一、评审内容： ①安全保障总体方案②防护保障措施；二、评审标准：1、完整性：内容全面，对评审内容中的各项要求有详细描述；2、可行性：切合本项目实际情况，提出步骤清晰的方案；3、针对性：紧扣项目实际情况需求，内容切实合理。三、赋分标准：①安全保障总体方案，每完全满足一个评审标准得1分，满分3分。②防护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保证承诺②及时响应承诺；二、评审标准：1、完整性：内容全面，对评审内容中的各项要求有详细描述；2、可行性：切合本项目实际情况，提出步骤清晰的方案；3、针对性：紧扣项目实际情况需求，内容切实合理。三、赋分标准：①服务保证承诺，每完全满足一个评审标准得1分，满分3分。②及时响应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一、评审内容： ①廉洁措施②保密措施；二、评审标准：1、完整性：内容全面，对评审内容中的各项要求有详细描述；2、可行性：切合本项目实际情况，提出步骤清晰的方案；3、针对性：紧扣项目实际情况需求，内容切实合理。三、赋分标准：①廉洁措施，每完全满足一个评审标准得1分，满分3分，②保密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供应商近三年（2022年5月至今，以签订合同时间或中标通知书落款时间为准）提供类似项目业绩，每提供一个得2分，最高得8分。 （以磋商响应文件中合同或合同关键页（必须含封面、内容、签订时间 、盖章签字页等信息）或中标通知书加盖公章的扫描件为 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服务方案、人员表及供应商认为有必要提供的其他内容.docx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价格分统一采用低价优先法计算，即满足磋商文件要求且投标价格最低的响应报价为评标基准价，其价格分为满分。 其他投标人的价格分统一按照下列公式计算： 响应报价得分=(评标基准价／响应报价)×20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详见附件：磋商报价表及分项报价表.docx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详见附件：【服务】西安铁路职业技术学院日常教学办公运转保障-陕西省教博会布展 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