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版本号：GXZB2025-026Z20250519001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2025年资源规划政务宣传项目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GXZB2025-026Z</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2025年资源规划政务宣传项目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GXZB2025-026Z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2025年资源规划政务宣传项目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资源规划政务宣传项目主要包括运维资源规划局政务公开平台，组织资源规划重点宣传活动、制作业务宣传片等。通过该项目，我局可统筹开展政务宣传工作，提升政策、活动的知晓率，提高政务新媒体平台影响力，积极履行我局职能领域的宣传责任，正面做好社会引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采购包1（2025年资源规划政务宣传项目）：属于专门面向中小企业采购。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w:t>
      </w:r>
    </w:p>
    <w:p>
      <w:pPr>
        <w:pStyle w:val="null3"/>
      </w:pPr>
      <w:r>
        <w:rPr>
          <w:rFonts w:ascii="仿宋_GB2312" w:hAnsi="仿宋_GB2312" w:cs="仿宋_GB2312" w:eastAsia="仿宋_GB2312"/>
        </w:rPr>
        <w:t>10、本项目不接受联合体投标，不允许分包：本项目不接受联合体投标，不允许分包。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13193383246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1）合同文本、合同附件、竞争性磋商文件、响应文件。 2）符合国家及行业标准。 3）通过采购人组织的专家论证或评估会。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联系人：阿工</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资源规划政务宣传项目主要包括运维资源规划局政务公开平台，组织资源规划重点宣传活动、制作业务宣传片等。通过该项目，我局可统筹开展政务宣传工作，提升政策、活动的知晓率，提高政务新媒体平台影响力，积极履行我局职能领域的宣传责任，正面做好社会引导。</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739,000.00</w:t>
      </w:r>
    </w:p>
    <w:p>
      <w:pPr>
        <w:pStyle w:val="null3"/>
      </w:pPr>
      <w:r>
        <w:rPr>
          <w:rFonts w:ascii="仿宋_GB2312" w:hAnsi="仿宋_GB2312" w:cs="仿宋_GB2312" w:eastAsia="仿宋_GB2312"/>
        </w:rPr>
        <w:t>采购包最高限价（元）: 739,000.00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2025年资源规划政务宣传项目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标的名称：2025年资源规划政务宣传项目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0"/>
                <w:b/>
                <w:color w:val="000000"/>
              </w:rPr>
              <w:t>项目概况</w:t>
            </w:r>
            <w:r>
              <w:rPr>
                <w:rFonts w:ascii="仿宋_GB2312" w:hAnsi="仿宋_GB2312" w:cs="仿宋_GB2312" w:eastAsia="仿宋_GB2312"/>
                <w:sz w:val="20"/>
                <w:b/>
                <w:color w:val="000000"/>
              </w:rPr>
              <w:t>。</w:t>
            </w:r>
            <w:r>
              <w:rPr>
                <w:rFonts w:ascii="仿宋_GB2312" w:hAnsi="仿宋_GB2312" w:cs="仿宋_GB2312" w:eastAsia="仿宋_GB2312"/>
                <w:sz w:val="20"/>
                <w:color w:val="000000"/>
              </w:rPr>
              <w:t>2025年资源规划政务宣传项目</w:t>
            </w:r>
            <w:r>
              <w:rPr>
                <w:rFonts w:ascii="仿宋_GB2312" w:hAnsi="仿宋_GB2312" w:cs="仿宋_GB2312" w:eastAsia="仿宋_GB2312"/>
                <w:sz w:val="20"/>
                <w:color w:val="000000"/>
              </w:rPr>
              <w:t>主要包括运维资源规划局政务公开平台，组织资源规划重点宣传活动、制作业务宣传片等。通过该项目，我局可统筹开展政务宣传工作，提升政策、活动的知晓率，提高政务新媒体平台影响力，积极履行我局职能领域的宣传责任，正面做好社会引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0"/>
                <w:b/>
                <w:color w:val="000000"/>
              </w:rPr>
              <w:t>服务内容。</w:t>
            </w:r>
          </w:p>
          <w:p>
            <w:pPr>
              <w:pStyle w:val="null3"/>
              <w:ind w:firstLine="400"/>
              <w:jc w:val="both"/>
            </w:pPr>
            <w:r>
              <w:rPr>
                <w:rFonts w:ascii="仿宋_GB2312" w:hAnsi="仿宋_GB2312" w:cs="仿宋_GB2312" w:eastAsia="仿宋_GB2312"/>
                <w:sz w:val="20"/>
              </w:rPr>
              <w:t>1.政务公开平台运维。完成门户网站、“西安资源规划”微信公众号和微博号的图文美化和内容维护，确保信息及时更新。</w:t>
            </w:r>
          </w:p>
          <w:p>
            <w:pPr>
              <w:pStyle w:val="null3"/>
              <w:ind w:firstLine="400"/>
              <w:jc w:val="both"/>
            </w:pPr>
            <w:r>
              <w:rPr>
                <w:rFonts w:ascii="仿宋_GB2312" w:hAnsi="仿宋_GB2312" w:cs="仿宋_GB2312" w:eastAsia="仿宋_GB2312"/>
                <w:sz w:val="20"/>
              </w:rPr>
              <w:t>2.政务宣传稿件采编。围绕重点工作，完成各类平台的稿件采编、校对及发布；完成市局重要宣传活动、会议等跟拍工作，制作发布宣传内容。定期对市局各处室（单位）信息报送情况进行统计和通报。</w:t>
            </w:r>
          </w:p>
          <w:p>
            <w:pPr>
              <w:pStyle w:val="null3"/>
              <w:ind w:firstLine="400"/>
              <w:jc w:val="both"/>
            </w:pPr>
            <w:r>
              <w:rPr>
                <w:rFonts w:ascii="仿宋_GB2312" w:hAnsi="仿宋_GB2312" w:cs="仿宋_GB2312" w:eastAsia="仿宋_GB2312"/>
                <w:sz w:val="20"/>
              </w:rPr>
              <w:t>3.政务信息公开及上报。完成市局各类信息公开工作，按照上级要求，定期上报政务信息、宣传稿件等。</w:t>
            </w:r>
          </w:p>
          <w:p>
            <w:pPr>
              <w:pStyle w:val="null3"/>
              <w:ind w:firstLine="400"/>
              <w:jc w:val="both"/>
            </w:pPr>
            <w:r>
              <w:rPr>
                <w:rFonts w:ascii="仿宋_GB2312" w:hAnsi="仿宋_GB2312" w:cs="仿宋_GB2312" w:eastAsia="仿宋_GB2312"/>
                <w:sz w:val="20"/>
              </w:rPr>
              <w:t>4.搭建宣传素材库。负责跟拍地球日、土地日、爱鸟周、野生动植物保护日、湿地日等宣传活动及市局各部门日常工作，留存宣传素材并按照要求进行剪辑优化。</w:t>
            </w:r>
          </w:p>
          <w:p>
            <w:pPr>
              <w:pStyle w:val="null3"/>
              <w:ind w:firstLine="400"/>
              <w:jc w:val="both"/>
            </w:pPr>
            <w:r>
              <w:rPr>
                <w:rFonts w:ascii="仿宋_GB2312" w:hAnsi="仿宋_GB2312" w:cs="仿宋_GB2312" w:eastAsia="仿宋_GB2312"/>
                <w:sz w:val="20"/>
              </w:rPr>
              <w:t>5.工作宣传视频制作。完成年度工作汇报片制作。拍摄、制作耕地保护工作视频片。</w:t>
            </w:r>
          </w:p>
          <w:p>
            <w:pPr>
              <w:pStyle w:val="null3"/>
              <w:ind w:firstLine="400"/>
              <w:jc w:val="both"/>
            </w:pPr>
            <w:r>
              <w:rPr>
                <w:rFonts w:ascii="仿宋_GB2312" w:hAnsi="仿宋_GB2312" w:cs="仿宋_GB2312" w:eastAsia="仿宋_GB2312"/>
                <w:sz w:val="20"/>
              </w:rPr>
              <w:t>6.线上多媒体宣传内容制作。完成重要政策文件、重大专项活动的图解、宣传海报、H5动画等宣传品制作发布。</w:t>
            </w:r>
          </w:p>
          <w:p>
            <w:pPr>
              <w:pStyle w:val="null3"/>
              <w:ind w:firstLine="400"/>
              <w:jc w:val="both"/>
            </w:pPr>
            <w:r>
              <w:rPr>
                <w:rFonts w:ascii="仿宋_GB2312" w:hAnsi="仿宋_GB2312" w:cs="仿宋_GB2312" w:eastAsia="仿宋_GB2312"/>
                <w:sz w:val="20"/>
              </w:rPr>
              <w:t>7.宣传人员培训。协助市局开展形式多样的宣传培训，并配合做好其它宣传工作。</w:t>
            </w:r>
          </w:p>
          <w:p>
            <w:pPr>
              <w:pStyle w:val="null3"/>
              <w:ind w:firstLine="400"/>
              <w:jc w:val="both"/>
            </w:pPr>
            <w:r>
              <w:rPr>
                <w:rFonts w:ascii="仿宋_GB2312" w:hAnsi="仿宋_GB2312" w:cs="仿宋_GB2312" w:eastAsia="仿宋_GB2312"/>
                <w:sz w:val="20"/>
              </w:rPr>
              <w:t>8.推送媒体报道及组织宣传合作。针对资源规划重点活动及工作，邀请媒体现场跟踪报道、推送刊发报道等。</w:t>
            </w:r>
          </w:p>
          <w:p>
            <w:pPr>
              <w:pStyle w:val="null3"/>
              <w:jc w:val="both"/>
            </w:pPr>
            <w:r>
              <w:rPr>
                <w:rFonts w:ascii="仿宋_GB2312" w:hAnsi="仿宋_GB2312" w:cs="仿宋_GB2312" w:eastAsia="仿宋_GB2312"/>
                <w:sz w:val="20"/>
              </w:rPr>
              <w:t>9.组织主题宣传活动。按照要求，组织筹备自然资源体系线下活动，制作活动宣传品、布置宣传场地、开展室外现场宣传。</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0"/>
                <w:b/>
                <w:color w:val="000000"/>
              </w:rPr>
              <w:t>技术要求</w:t>
            </w:r>
            <w:r>
              <w:rPr>
                <w:rFonts w:ascii="仿宋_GB2312" w:hAnsi="仿宋_GB2312" w:cs="仿宋_GB2312" w:eastAsia="仿宋_GB2312"/>
                <w:sz w:val="20"/>
                <w:b/>
                <w:color w:val="000000"/>
              </w:rPr>
              <w:t>。</w:t>
            </w:r>
          </w:p>
          <w:p>
            <w:pPr>
              <w:pStyle w:val="null3"/>
              <w:ind w:firstLine="400"/>
              <w:jc w:val="both"/>
            </w:pPr>
            <w:r>
              <w:rPr>
                <w:rFonts w:ascii="仿宋_GB2312" w:hAnsi="仿宋_GB2312" w:cs="仿宋_GB2312" w:eastAsia="仿宋_GB2312"/>
                <w:sz w:val="20"/>
                <w:color w:val="000000"/>
              </w:rPr>
              <w:t>1.微信公众号、微博平均关注度不低于4.5万；</w:t>
            </w:r>
          </w:p>
          <w:p>
            <w:pPr>
              <w:pStyle w:val="null3"/>
              <w:ind w:firstLine="400"/>
              <w:jc w:val="both"/>
            </w:pPr>
            <w:r>
              <w:rPr>
                <w:rFonts w:ascii="仿宋_GB2312" w:hAnsi="仿宋_GB2312" w:cs="仿宋_GB2312" w:eastAsia="仿宋_GB2312"/>
                <w:sz w:val="20"/>
                <w:color w:val="000000"/>
              </w:rPr>
              <w:t>2.每周平均发布信息不少于15条，全年采编原创稿件不少于200篇；</w:t>
            </w:r>
          </w:p>
          <w:p>
            <w:pPr>
              <w:pStyle w:val="null3"/>
              <w:ind w:firstLine="400"/>
              <w:jc w:val="both"/>
            </w:pPr>
            <w:r>
              <w:rPr>
                <w:rFonts w:ascii="仿宋_GB2312" w:hAnsi="仿宋_GB2312" w:cs="仿宋_GB2312" w:eastAsia="仿宋_GB2312"/>
                <w:sz w:val="20"/>
              </w:rPr>
              <w:t>3.在市级媒体刊发稿件不少于50篇，中省级媒体刊发类稿件不少于10篇；</w:t>
            </w:r>
          </w:p>
          <w:p>
            <w:pPr>
              <w:pStyle w:val="null3"/>
              <w:ind w:firstLine="400"/>
              <w:jc w:val="both"/>
            </w:pPr>
            <w:r>
              <w:rPr>
                <w:rFonts w:ascii="仿宋_GB2312" w:hAnsi="仿宋_GB2312" w:cs="仿宋_GB2312" w:eastAsia="仿宋_GB2312"/>
                <w:sz w:val="20"/>
              </w:rPr>
              <w:t>4.制作发布图解稿件不少于15个，制作发布长图、海报等宣传品不少于20个；</w:t>
            </w:r>
          </w:p>
          <w:p>
            <w:pPr>
              <w:pStyle w:val="null3"/>
              <w:ind w:firstLine="400"/>
              <w:jc w:val="both"/>
            </w:pPr>
            <w:r>
              <w:rPr>
                <w:rFonts w:ascii="仿宋_GB2312" w:hAnsi="仿宋_GB2312" w:cs="仿宋_GB2312" w:eastAsia="仿宋_GB2312"/>
                <w:sz w:val="20"/>
              </w:rPr>
              <w:t>5.拍摄留存视频素材不少于100个，制作音视频宣传品不少于20分钟。</w:t>
            </w:r>
          </w:p>
          <w:p>
            <w:pPr>
              <w:pStyle w:val="null3"/>
              <w:jc w:val="both"/>
            </w:pPr>
            <w:r>
              <w:rPr>
                <w:rFonts w:ascii="仿宋_GB2312" w:hAnsi="仿宋_GB2312" w:cs="仿宋_GB2312" w:eastAsia="仿宋_GB2312"/>
                <w:sz w:val="20"/>
              </w:rPr>
              <w:t>6.开展线下宣传活动（包含置备宣传品、布置场地等）不少于1次，开展宣传培训不少于</w:t>
            </w:r>
            <w:r>
              <w:rPr>
                <w:rFonts w:ascii="仿宋_GB2312" w:hAnsi="仿宋_GB2312" w:cs="仿宋_GB2312" w:eastAsia="仿宋_GB2312"/>
                <w:sz w:val="20"/>
              </w:rPr>
              <w:t>2</w:t>
            </w:r>
            <w:r>
              <w:rPr>
                <w:rFonts w:ascii="仿宋_GB2312" w:hAnsi="仿宋_GB2312" w:cs="仿宋_GB2312" w:eastAsia="仿宋_GB2312"/>
                <w:sz w:val="20"/>
              </w:rPr>
              <w:t>次。</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要求</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1.服务商应设立项目服务团队，服务团队应熟悉国家和省市资源规划领域相关政策，固定人员不少于4人，包括采编人员、剪辑人员、平台运维人员等，且能提供不少于2人的驻局服务。</w:t>
            </w:r>
          </w:p>
          <w:p>
            <w:pPr>
              <w:pStyle w:val="null3"/>
              <w:ind w:firstLine="400"/>
              <w:jc w:val="both"/>
            </w:pPr>
            <w:r>
              <w:rPr>
                <w:rFonts w:ascii="仿宋_GB2312" w:hAnsi="仿宋_GB2312" w:cs="仿宋_GB2312" w:eastAsia="仿宋_GB2312"/>
                <w:sz w:val="20"/>
                <w:color w:val="000000"/>
              </w:rPr>
              <w:t>2.服务商应配备视频拍摄、剪辑、制作等专业设备及能力，</w:t>
            </w:r>
            <w:r>
              <w:rPr>
                <w:rFonts w:ascii="仿宋_GB2312" w:hAnsi="仿宋_GB2312" w:cs="仿宋_GB2312" w:eastAsia="仿宋_GB2312"/>
                <w:sz w:val="20"/>
                <w:color w:val="000000"/>
              </w:rPr>
              <w:t>能够</w:t>
            </w:r>
            <w:r>
              <w:rPr>
                <w:rFonts w:ascii="仿宋_GB2312" w:hAnsi="仿宋_GB2312" w:cs="仿宋_GB2312" w:eastAsia="仿宋_GB2312"/>
                <w:sz w:val="20"/>
                <w:color w:val="000000"/>
              </w:rPr>
              <w:t>提供设备清单，设备配置完全满足项目需求。</w:t>
            </w:r>
          </w:p>
          <w:p>
            <w:pPr>
              <w:pStyle w:val="null3"/>
              <w:ind w:firstLine="400"/>
              <w:jc w:val="both"/>
            </w:pPr>
            <w:r>
              <w:rPr>
                <w:rFonts w:ascii="仿宋_GB2312" w:hAnsi="仿宋_GB2312" w:cs="仿宋_GB2312" w:eastAsia="仿宋_GB2312"/>
                <w:sz w:val="20"/>
                <w:color w:val="000000"/>
              </w:rPr>
              <w:t>3.服务商应具备组织线下宣传活动的能力，包括不限于提供宣传品定制、提供音响设备等。</w:t>
            </w:r>
          </w:p>
          <w:p>
            <w:pPr>
              <w:pStyle w:val="null3"/>
              <w:jc w:val="both"/>
            </w:pPr>
            <w:r>
              <w:rPr>
                <w:rFonts w:ascii="仿宋_GB2312" w:hAnsi="仿宋_GB2312" w:cs="仿宋_GB2312" w:eastAsia="仿宋_GB2312"/>
                <w:sz w:val="20"/>
                <w:color w:val="000000"/>
              </w:rPr>
              <w:t>4.服务商在合同执行期间，应按照工作需要，协助策划宣传方案、设立宣传议题，提供宣传培训等，确保工作成果正确使用。</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sz w:val="20"/>
                <w:b/>
                <w:color w:val="000000"/>
              </w:rPr>
              <w:t>商务要求。</w:t>
            </w:r>
          </w:p>
          <w:p>
            <w:pPr>
              <w:pStyle w:val="null3"/>
              <w:ind w:firstLine="400"/>
              <w:jc w:val="both"/>
            </w:pPr>
            <w:r>
              <w:rPr>
                <w:rFonts w:ascii="仿宋_GB2312" w:hAnsi="仿宋_GB2312" w:cs="仿宋_GB2312" w:eastAsia="仿宋_GB2312"/>
                <w:sz w:val="20"/>
                <w:color w:val="000000"/>
              </w:rPr>
              <w:t>（一）服务期限：</w:t>
            </w:r>
            <w:r>
              <w:rPr>
                <w:rFonts w:ascii="仿宋_GB2312" w:hAnsi="仿宋_GB2312" w:cs="仿宋_GB2312" w:eastAsia="仿宋_GB2312"/>
                <w:sz w:val="20"/>
                <w:color w:val="000000"/>
              </w:rPr>
              <w:t>项目服务期一年，自合同签订之日起算。</w:t>
            </w:r>
          </w:p>
          <w:p>
            <w:pPr>
              <w:pStyle w:val="null3"/>
              <w:ind w:firstLine="400"/>
              <w:jc w:val="both"/>
            </w:pPr>
            <w:r>
              <w:rPr>
                <w:rFonts w:ascii="仿宋_GB2312" w:hAnsi="仿宋_GB2312" w:cs="仿宋_GB2312" w:eastAsia="仿宋_GB2312"/>
                <w:sz w:val="20"/>
                <w:color w:val="000000"/>
              </w:rPr>
              <w:t>（二）款项结算：</w:t>
            </w:r>
            <w:r>
              <w:rPr>
                <w:rFonts w:ascii="仿宋_GB2312" w:hAnsi="仿宋_GB2312" w:cs="仿宋_GB2312" w:eastAsia="仿宋_GB2312"/>
                <w:sz w:val="20"/>
                <w:color w:val="000000"/>
              </w:rPr>
              <w:t>合同签订后20个工作日内支付合同总价款的40%作为预付款；阶段验收合格后20个工作日内支付合同总价款的30%；所有服务内容完成并验收合格后20个工作日内支付合同总价款的30%。</w:t>
            </w:r>
          </w:p>
          <w:p>
            <w:pPr>
              <w:pStyle w:val="null3"/>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w:t>
            </w:r>
            <w:r>
              <w:rPr>
                <w:rFonts w:ascii="仿宋_GB2312" w:hAnsi="仿宋_GB2312" w:cs="仿宋_GB2312" w:eastAsia="仿宋_GB2312"/>
                <w:sz w:val="20"/>
                <w:b/>
                <w:color w:val="000000"/>
              </w:rPr>
              <w:t>其他。</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质量验收标准或规范</w:t>
            </w:r>
            <w:r>
              <w:rPr>
                <w:rFonts w:ascii="仿宋_GB2312" w:hAnsi="仿宋_GB2312" w:cs="仿宋_GB2312" w:eastAsia="仿宋_GB2312"/>
                <w:sz w:val="20"/>
                <w:color w:val="000000"/>
              </w:rPr>
              <w:t>：</w:t>
            </w:r>
            <w:r>
              <w:rPr>
                <w:rFonts w:ascii="仿宋_GB2312" w:hAnsi="仿宋_GB2312" w:cs="仿宋_GB2312" w:eastAsia="仿宋_GB2312"/>
                <w:sz w:val="20"/>
                <w:color w:val="000000"/>
              </w:rPr>
              <w:t>成果质量符合采购人要求，并通过采购人组织的专家论证或评估会。</w:t>
            </w:r>
          </w:p>
          <w:p>
            <w:pPr>
              <w:pStyle w:val="null3"/>
              <w:ind w:firstLine="400"/>
              <w:jc w:val="both"/>
            </w:pPr>
            <w:r>
              <w:rPr>
                <w:rFonts w:ascii="仿宋_GB2312" w:hAnsi="仿宋_GB2312" w:cs="仿宋_GB2312" w:eastAsia="仿宋_GB2312"/>
                <w:sz w:val="20"/>
                <w:color w:val="000000"/>
              </w:rPr>
              <w:t>（二）进度要求：</w:t>
            </w:r>
            <w:r>
              <w:rPr>
                <w:rFonts w:ascii="仿宋_GB2312" w:hAnsi="仿宋_GB2312" w:cs="仿宋_GB2312" w:eastAsia="仿宋_GB2312"/>
                <w:sz w:val="20"/>
                <w:color w:val="000000"/>
              </w:rPr>
              <w:t>2025年年末进行阶段验收；2026年8月完成项目要求的各项工作，进行项目验收。</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项目服务期一年，自合同签订之日起算。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通过采购人组织的专家论证或评估会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阶段验收合格后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1）违约责任：依据采购合同执行; 2）合同执行中发生争议的，当事人双方应协商解决。协商达不成一致时，可向所在地有权管辖的人民法院提请诉讼。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1、因系统设置板块原因，本项目付款方式标准按照3.2.2要求的付款方式为准。 2、本项目采购内容“2025年资源规划政务宣传项目”对应的中小企业划分标准所属行业为：租赁和商务服务业。 3、供应商需要在线提交所有通过电子化交易平台实施的政府采购项目的响应文件，成交供应商在领取中标通知书时向代理机构提供纸质版投标文件2套和电子版投标文件2份（U盘存储），纸质版投标文件必须与参与评审的电子版投标文件一致并装订成册签字盖章且连续编码。递交文件地点：陕西省西安市曲江新区旺座曲江B座3105。 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响应文件封面 中小企业声明函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 xml:space="preserve"> 针对采购人的门户网站、微信公众平台、微博号运维需求及整体宣传工作服务采购需求的理解程度进行赋分： 1、对本项目的理解及分析准确、透彻、内容全面、思路清晰，有利于项目实施且具有指导意义得5分； 2、对本项目的分析理解较准确、全面，有针对性得3分； 3、对本项目的分析理解基本准确，但分析不够深入透彻，可行性不强，得1分。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整体运维服务方案编制1</w:t>
            </w:r>
          </w:p>
        </w:tc>
        <w:tc>
          <w:tcPr>
            <w:tcW w:type="dxa" w:w="2492"/>
          </w:tcPr>
          <w:p>
            <w:pPr>
              <w:pStyle w:val="null3"/>
            </w:pPr>
            <w:r>
              <w:rPr>
                <w:rFonts w:ascii="仿宋_GB2312" w:hAnsi="仿宋_GB2312" w:cs="仿宋_GB2312" w:eastAsia="仿宋_GB2312"/>
              </w:rPr>
              <w:t>从整体运维服务方案编制比较科学、内容规划成熟、编制完整、扩展性强、运营可靠、工作进度规划合理以及方案配置的合理性等方面与项目对应采购需求的满足程度按其响应程度计分。 1、服务方案编制比较科学、内容规划成熟、编制完整、扩展性强、运营可靠、工作进度规划合理，完全满足采购需求计5分。 2、服务方案编制完整，能满足采购需求计3分。 3、服务方案编制内容一般，可行性较差计1分。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整体运维服务方案编制2</w:t>
            </w:r>
          </w:p>
        </w:tc>
        <w:tc>
          <w:tcPr>
            <w:tcW w:type="dxa" w:w="2492"/>
          </w:tcPr>
          <w:p>
            <w:pPr>
              <w:pStyle w:val="null3"/>
            </w:pPr>
            <w:r>
              <w:rPr>
                <w:rFonts w:ascii="仿宋_GB2312" w:hAnsi="仿宋_GB2312" w:cs="仿宋_GB2312" w:eastAsia="仿宋_GB2312"/>
              </w:rPr>
              <w:t>结合本项目实际情况，有详细完整的包括政务公开平台、组织资源规划重点宣传活动、制作业务宣传片等内容的服务方案，工作思路清晰、工作流程全面、宣传规划等各项方案配置合理、服务质量有保证、工作进度控制合理且保证措施得当等方面进行赋分： 1、服务方案配置合理，工作思路及工作流程详细完整、内容策划可行性、针对性强，能够提供多类型视频样例并说明预期应用，高质量的确保本项目顺利实施，计10分。 2、服务方案配置合理，工作思路及工作流程完整、内容策划针对性强，能够提供多类型视频样例并说明预期应用，能确保本项目顺利实施，计7分。 3、服务方案方案各项配置合理，工作思路及工作流程基本完整，有可行性及针对性计3分。 4、服务方案编制内容简略，可行性不强计1分。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运维宣传规划方案编制</w:t>
            </w:r>
          </w:p>
        </w:tc>
        <w:tc>
          <w:tcPr>
            <w:tcW w:type="dxa" w:w="2492"/>
          </w:tcPr>
          <w:p>
            <w:pPr>
              <w:pStyle w:val="null3"/>
            </w:pPr>
            <w:r>
              <w:rPr>
                <w:rFonts w:ascii="仿宋_GB2312" w:hAnsi="仿宋_GB2312" w:cs="仿宋_GB2312" w:eastAsia="仿宋_GB2312"/>
              </w:rPr>
              <w:t xml:space="preserve"> 供应商针对不同平台发布新媒体宣传信息有相应的针对性宣传与规划。 1、宣传的创意需满足采购需求数量，宣传平台规划方案可行、创意新颖、生动、完全满足采购需求的计5分； 2、规划方案基本可行，有新意，基本满足采购需求数量，计3分； 3、规划方案空洞、无针对性，计1分。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服务质量保证措施1</w:t>
            </w:r>
          </w:p>
        </w:tc>
        <w:tc>
          <w:tcPr>
            <w:tcW w:type="dxa" w:w="2492"/>
          </w:tcPr>
          <w:p>
            <w:pPr>
              <w:pStyle w:val="null3"/>
            </w:pPr>
            <w:r>
              <w:rPr>
                <w:rFonts w:ascii="仿宋_GB2312" w:hAnsi="仿宋_GB2312" w:cs="仿宋_GB2312" w:eastAsia="仿宋_GB2312"/>
              </w:rPr>
              <w:t>结合本项目实际情况，对采购人的门户网站、“西安资源规划”微信公众平台、微博号重要活动通稿的编辑校对、信息报送及统计和通报的需求有详细完整的服务质量保证措施，按其响应程度赋分。 1、服务质量保证措施详细完整、可行性、针对性强，对门户网站、微信公众号和微博平台等的信息发布数量能达到或超过量化考核指标要求，能高质量的确保项目服务质量，计5分； 2、保障措施基本完整，具有可行性及针对性，对门户网站、微信公众号和微博平台等的信息发布数量能达到量化考核指标要求，能保证项目质量计3分； 3、服务质量保证措施简单，量化考核指标不明确计1分；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服务质量保证措施2</w:t>
            </w:r>
          </w:p>
        </w:tc>
        <w:tc>
          <w:tcPr>
            <w:tcW w:type="dxa" w:w="2492"/>
          </w:tcPr>
          <w:p>
            <w:pPr>
              <w:pStyle w:val="null3"/>
            </w:pPr>
            <w:r>
              <w:rPr>
                <w:rFonts w:ascii="仿宋_GB2312" w:hAnsi="仿宋_GB2312" w:cs="仿宋_GB2312" w:eastAsia="仿宋_GB2312"/>
              </w:rPr>
              <w:t>供应商对供应商对门户网站、微信公众号和微博平台等、对市级新闻媒体和中省级新闻媒体刊发新闻类稿件数量，能达到或超过量化考核指标要求有详细完整的服务质量保证措施，按其响应程度计分。 1、措施详细完整、可行性、针对性强，能分别达到或超过量化考核指标要求，有效保障服务质量。按其响应程度计5分； 2、保障措施基本完整，具有一定的可行性及针对性，数量能分别达到量化考核指标要求，保证项目质量。按其响应程度计3分； 3、服务质量保证措施简单，量化考核指标指标不明确计1分；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服务质量保证措施3</w:t>
            </w:r>
          </w:p>
        </w:tc>
        <w:tc>
          <w:tcPr>
            <w:tcW w:type="dxa" w:w="2492"/>
          </w:tcPr>
          <w:p>
            <w:pPr>
              <w:pStyle w:val="null3"/>
            </w:pPr>
            <w:r>
              <w:rPr>
                <w:rFonts w:ascii="仿宋_GB2312" w:hAnsi="仿宋_GB2312" w:cs="仿宋_GB2312" w:eastAsia="仿宋_GB2312"/>
              </w:rPr>
              <w:t>供应商对会议跟拍及工作宣传视频制作能达到或超过量化考核指标要求有详细完整的服务质量保证措施，按其响应程度计分。 1、措施详细完整、可行性、针对性强，能分别达到或超过量化考核指标要求，有效保障服务质量。按其响应程度计5分； 2、保障措施基本完整，具有一定的可行性及针对性，数量能分别达到量化考核指标要求，保证项目质量。按其响应程度计3分； 3、服务质量保证措施简单，量化考核指标指标不明确计1分；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安全与应急预案保障措施</w:t>
            </w:r>
          </w:p>
        </w:tc>
        <w:tc>
          <w:tcPr>
            <w:tcW w:type="dxa" w:w="2492"/>
          </w:tcPr>
          <w:p>
            <w:pPr>
              <w:pStyle w:val="null3"/>
            </w:pPr>
            <w:r>
              <w:rPr>
                <w:rFonts w:ascii="仿宋_GB2312" w:hAnsi="仿宋_GB2312" w:cs="仿宋_GB2312" w:eastAsia="仿宋_GB2312"/>
              </w:rPr>
              <w:t>提供突发事件特殊状况的应急预案及保障措施，包括但不限于组织保障、人员保障、设备保障、数据安全保障等应对措施。根据响应情况计分。 1、应急措施详细完整、可行性、针对性强，并提供有效数据安全保障措施方案及保障措施的，计5分； 2、应急措施基本完整，具有可行性及针对性计3分； 3、应急措施简单、可行性差，计1分。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 xml:space="preserve"> 服务工作内容对完成该项目有切实可行的工作部署与进度安排，制定详细的项目进度保障措施，确保工作优质、高效、如期完成。 1、措施详细完整、可行性、针对性强，能高质量的确保项目按时完成，得5分； 2、措施比较完整，有可行性及针对性，能保证项目质量，计3分； 3、进度保障措施简单，可行性差计1分。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本项目工作重点、难点分析及解决方案</w:t>
            </w:r>
          </w:p>
        </w:tc>
        <w:tc>
          <w:tcPr>
            <w:tcW w:type="dxa" w:w="2492"/>
          </w:tcPr>
          <w:p>
            <w:pPr>
              <w:pStyle w:val="null3"/>
            </w:pPr>
            <w:r>
              <w:rPr>
                <w:rFonts w:ascii="仿宋_GB2312" w:hAnsi="仿宋_GB2312" w:cs="仿宋_GB2312" w:eastAsia="仿宋_GB2312"/>
              </w:rPr>
              <w:t>供应商提供针对本项目工作重点、难点分析及解决方案。 1、对重点、难点分析准确，解决方案针对性强的计5分； 2、对重点、难点分析基本准确，解决方案具有针对性和可行性的计3分； 3、重点难点分析简单，解决方案内容空洞计1分。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拟投入本项目人员及设备配备方案1</w:t>
            </w:r>
          </w:p>
        </w:tc>
        <w:tc>
          <w:tcPr>
            <w:tcW w:type="dxa" w:w="2492"/>
          </w:tcPr>
          <w:p>
            <w:pPr>
              <w:pStyle w:val="null3"/>
            </w:pPr>
            <w:r>
              <w:rPr>
                <w:rFonts w:ascii="仿宋_GB2312" w:hAnsi="仿宋_GB2312" w:cs="仿宋_GB2312" w:eastAsia="仿宋_GB2312"/>
              </w:rPr>
              <w:t>团队人员配置： 一、评审内容 供应商针对本项目有具体可行的团队配置方案（项目经理和团队成员），包括但不限于①团队人员组织架构；②项目经理及各岗位人员配置合理（明确采编、运维、摄像、应急响应等岗位职责分工）；③团队有丰富的相关工作经验（提供项目服务证明材料或专业资质证件）；④团队人员管理制度；⑤本项目实施过程中项目组与采购人的高度配合等。 二、评审标准 1、完整性：方案必须全面，对评审内容中的各项要求有详细阐述； 2、可实施性：切合本项目实际情况，提出步骤清晰、合理的方案； 3、针对性：方案能够紧扣项目实际情况，内容科学合理。 4、合理性：方案配置能满足本项目的采购需求。 上述5项评审内容全部满足评审标准得10分，每有一个评审内容缺项扣2分，扣完为止。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拟投入本项目人员及设备配备方案2</w:t>
            </w:r>
          </w:p>
        </w:tc>
        <w:tc>
          <w:tcPr>
            <w:tcW w:type="dxa" w:w="2492"/>
          </w:tcPr>
          <w:p>
            <w:pPr>
              <w:pStyle w:val="null3"/>
            </w:pPr>
            <w:r>
              <w:rPr>
                <w:rFonts w:ascii="仿宋_GB2312" w:hAnsi="仿宋_GB2312" w:cs="仿宋_GB2312" w:eastAsia="仿宋_GB2312"/>
              </w:rPr>
              <w:t>设备配置： 根据供应商拟投入本项目的设备情况进行赋分（提供相关设备清单及购买证明材料的，包括品牌、型号、规格、数量等）。 （1）供应商拟投入本项目的设备配置满足本项目实际需求，配备齐全、技术先进、性能良好，安全可靠，计5分； （2）设备配置基本满足本项目实际需求，配备较齐全、技术较先进、共计3分； （3）设备配置较为简单，无针对性，计1分；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针对采购人实际需求提供运维售后服务、人员培训方案、提供增值服务等服务承诺： 1、承诺详细、全面、具体，可行性较强得5分； 2、承诺基本详细，有一定可行性得3分； 3、承诺较简单，可行性较差得1分；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针对本项目合理化建议</w:t>
            </w:r>
          </w:p>
        </w:tc>
        <w:tc>
          <w:tcPr>
            <w:tcW w:type="dxa" w:w="2492"/>
          </w:tcPr>
          <w:p>
            <w:pPr>
              <w:pStyle w:val="null3"/>
            </w:pPr>
            <w:r>
              <w:rPr>
                <w:rFonts w:ascii="仿宋_GB2312" w:hAnsi="仿宋_GB2312" w:cs="仿宋_GB2312" w:eastAsia="仿宋_GB2312"/>
              </w:rPr>
              <w:t>1、合理化建议详细、具体，可行性强得5分； 2、合理化建议基本详细，有可行性得3分； 3、合理化建议简单，可行性较差得1分；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 业绩以合同为依据，时间以签订日期为准，每提供一个计1分，满分5分。 （注：响应文件中提供合同复印件加盖供应商公章）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