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版本号：ZY2025-ZB-GK104120250516001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法院卷宗电子同步生成服务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ZY2025-ZB-GK1041</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法院卷宗电子同步生成服务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法院卷宗电子同步生成服务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为了落实最高院和省院关于人民法院档案数字化工作的具体要求，将未央区人民法 院即时产生的档案进行数字化同步生成加工处理，对实时产生的新卷宗进行扫描、上传、 装订，以实现档案管理的网络化，数字化增强档案业务部门的服务管理水平，提高效率， 促进档案信息资源的深度应用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采购包1（法院卷宗电子同步生成服务）：属于专门面向中小企业采购。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8、授权委托书：法定代表人授权委托书、被授权人身份证（法定代表人参加投标时,只需提供法定代表人身份证）</w:t>
      </w:r>
    </w:p>
    <w:p>
      <w:pPr>
        <w:pStyle w:val="null3"/>
      </w:pPr>
      <w:r>
        <w:rPr>
          <w:rFonts w:ascii="仿宋_GB2312" w:hAnsi="仿宋_GB2312" w:cs="仿宋_GB2312" w:eastAsia="仿宋_GB2312"/>
        </w:rPr>
        <w:t>9、资质：投标人须具备省级及以上国家保密局颁发的《国家秘密载体印制资质》乙级或以上资质（业务种类范围须包含“涉密档案数字化加工”），其中省外乙级资质投标人应当向陕西省保密行政管理部门备案，提供备案证明（甲级资质无需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029-88010119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采购包1：4,117,600.00元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金额为基数，依据国家计委颁布《招标代理服务收费管理暂行办法》（计价格[2002]1980号）和国家发展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为了落实最高院和省院关于人民法院档案数字化工作的具体要求，将未央区人民法院即时产生的档案进行数字化同步生成加工处理，对实时产生的新卷宗进行扫描、上传、 装订，以实现档案管理的网络化，数字化增强档案业务部门的服务管理水平，提高效率， 促进档案信息资源的深度应用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4,117,600.00</w:t>
      </w:r>
    </w:p>
    <w:p>
      <w:pPr>
        <w:pStyle w:val="null3"/>
      </w:pPr>
      <w:r>
        <w:rPr>
          <w:rFonts w:ascii="仿宋_GB2312" w:hAnsi="仿宋_GB2312" w:cs="仿宋_GB2312" w:eastAsia="仿宋_GB2312"/>
        </w:rPr>
        <w:t>采购包最高限价（元）: 4,117,600.00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4117600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标的名称：4117600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一、服务内容及标准</w:t>
            </w:r>
          </w:p>
          <w:tbl>
            <w:tblPr>
              <w:tblBorders>
                <w:top w:val="none" w:color="000000" w:sz="4"/>
                <w:left w:val="none" w:color="000000" w:sz="4"/>
                <w:bottom w:val="none" w:color="000000" w:sz="4"/>
                <w:right w:val="none" w:color="000000" w:sz="4"/>
                <w:insideH w:val="none"/>
                <w:insideV w:val="none"/>
              </w:tblBorders>
            </w:tblPr>
            <w:tblGrid>
              <w:gridCol w:w="226"/>
              <w:gridCol w:w="910"/>
              <w:gridCol w:w="141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9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服务项目</w:t>
                  </w:r>
                </w:p>
              </w:tc>
              <w:tc>
                <w:tcPr>
                  <w:tcW w:type="dxa" w:w="14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卷宗整理</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含档案扫描和整理装订</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档案扫描</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整理装订</w:t>
                  </w:r>
                </w:p>
              </w:tc>
              <w:tc>
                <w:tcPr>
                  <w:tcW w:type="dxa" w:w="14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该报价不含扫描，扫描计入档案扫描的综合单价中；</w:t>
                  </w:r>
                </w:p>
              </w:tc>
            </w:tr>
          </w:tbl>
          <w:p>
            <w:pPr>
              <w:pStyle w:val="null3"/>
              <w:ind w:firstLine="480"/>
              <w:jc w:val="both"/>
            </w:pPr>
            <w:r>
              <w:rPr>
                <w:rFonts w:ascii="仿宋_GB2312" w:hAnsi="仿宋_GB2312" w:cs="仿宋_GB2312" w:eastAsia="仿宋_GB2312"/>
                <w:sz w:val="24"/>
                <w:color w:val="000000"/>
              </w:rPr>
              <w:t>为了落实最高院和省院关于人民法院档案数字化工作的具体要求，将未央区人民法 院即时产生的档案进行数字化同步生成加工处理，对实时产生的新卷宗进行扫描、上传、 装订，以实现档案管理的网络化，数字化增强档案业务部门的服务管理水平，提高效率， 促进档案信息资源的深度应用。</w:t>
            </w:r>
          </w:p>
          <w:p>
            <w:pPr>
              <w:pStyle w:val="null3"/>
              <w:ind w:firstLine="480"/>
              <w:jc w:val="both"/>
            </w:pPr>
            <w:r>
              <w:rPr>
                <w:rFonts w:ascii="仿宋_GB2312" w:hAnsi="仿宋_GB2312" w:cs="仿宋_GB2312" w:eastAsia="仿宋_GB2312"/>
                <w:sz w:val="24"/>
                <w:color w:val="000000"/>
              </w:rPr>
              <w:t>本项目的质量要求按照陕西省高级人民法院对电子档案的建设要求来执行。依据或 参照行业的有关标准规范进行项目实施，具体如下：</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《归档文件整理规则》DA/T 22-2015；</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《纸质档案数字化规范》 DA/T 31-2017；</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《人民法院诉讼文书立卷归档办法》；</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《人民法院电子诉讼档案管理暂行办法》；</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、《电子文件归档与电子档案管理规范》GB/T 18894—2016；</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、《机关文件材料归档范围和文书档案保管期限规定》 国家档案局令第 8 号发 布；</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、《版式电子文件长期保存格式需求》DA/T 47-2021；</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、《人民法院诉讼档案保管期限的规定》；</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最高人民法院印发《关于全面推进人民法院电子卷宗随案同步生成和深度应用 的指导意见》的通知（ 法〔 2016〕 264 号）；</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、《陕西省高级人民法院电子卷宗随案同步生成和深度应用管理规范（ 试行）》。</w:t>
            </w:r>
          </w:p>
          <w:p>
            <w:pPr>
              <w:pStyle w:val="null3"/>
              <w:jc w:val="both"/>
            </w:pPr>
            <w:r>
              <w:rPr>
                <w:rFonts w:ascii="仿宋_GB2312" w:hAnsi="仿宋_GB2312" w:cs="仿宋_GB2312" w:eastAsia="仿宋_GB2312"/>
                <w:sz w:val="24"/>
                <w:b/>
              </w:rPr>
              <w:t>附件：历史卷宗补录案件流程信息项一览表</w:t>
            </w:r>
          </w:p>
          <w:tbl>
            <w:tblPr>
              <w:tblBorders>
                <w:top w:val="single"/>
                <w:left w:val="single"/>
                <w:bottom w:val="single"/>
                <w:right w:val="single"/>
                <w:insideH w:val="single"/>
                <w:insideV w:val="single"/>
              </w:tblBorders>
            </w:tblPr>
            <w:tblGrid>
              <w:gridCol w:w="576"/>
              <w:gridCol w:w="1108"/>
              <w:gridCol w:w="1205"/>
            </w:tblGrid>
            <w:tr>
              <w:tc>
                <w:tcPr>
                  <w:tcW w:type="dxa" w:w="57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序号</w:t>
                  </w:r>
                </w:p>
              </w:tc>
              <w:tc>
                <w:tcPr>
                  <w:tcW w:type="dxa" w:w="110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案件信息属性字段</w:t>
                  </w:r>
                </w:p>
              </w:tc>
              <w:tc>
                <w:tcPr>
                  <w:tcW w:type="dxa" w:w="12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案件信息名称</w:t>
                  </w:r>
                </w:p>
              </w:tc>
            </w:tr>
            <w:tr>
              <w:tc>
                <w:tcPr>
                  <w:tcW w:type="dxa" w:w="57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w:t>
                  </w:r>
                </w:p>
              </w:tc>
              <w:tc>
                <w:tcPr>
                  <w:tcW w:type="dxa" w:w="110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fydm</w:t>
                  </w:r>
                </w:p>
              </w:tc>
              <w:tc>
                <w:tcPr>
                  <w:tcW w:type="dxa" w:w="12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法院代码</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sslb</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 诉讼类别（可选择）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3</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nd</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 年度（可选择）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4</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z</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 字（案件字号，可选择）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5</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h</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*号（案件编号）</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6</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ay</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*案由（可选择）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7</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larq</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立案日期（如：20170601）</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8</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bat</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 办案庭（案件承办部门，可选择）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9</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ysfy</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原审法院（可选择）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10</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ssdw1</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*诉讼地位</w:t>
                  </w:r>
                  <w:r>
                    <w:rPr>
                      <w:rFonts w:ascii="仿宋_GB2312" w:hAnsi="仿宋_GB2312" w:cs="仿宋_GB2312" w:eastAsia="仿宋_GB2312"/>
                      <w:sz w:val="24"/>
                      <w:color w:val="000000"/>
                    </w:rPr>
                    <w:t>1（可选择，默认原告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姓名或名称</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11</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ssdw2</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*诉讼地位</w:t>
                  </w:r>
                  <w:r>
                    <w:rPr>
                      <w:rFonts w:ascii="仿宋_GB2312" w:hAnsi="仿宋_GB2312" w:cs="仿宋_GB2312" w:eastAsia="仿宋_GB2312"/>
                      <w:sz w:val="24"/>
                      <w:color w:val="000000"/>
                    </w:rPr>
                    <w:t>2（可选择，默认被告</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姓名或名称</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12</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ssdw3</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诉讼地位</w:t>
                  </w:r>
                  <w:r>
                    <w:rPr>
                      <w:rFonts w:ascii="仿宋_GB2312" w:hAnsi="仿宋_GB2312" w:cs="仿宋_GB2312" w:eastAsia="仿宋_GB2312"/>
                      <w:sz w:val="24"/>
                      <w:color w:val="000000"/>
                    </w:rPr>
                    <w:t>3（可选择，默认第三人</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姓名或名称</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13</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sp</w:t>
                  </w:r>
                  <w:r>
                    <w:rPr>
                      <w:rFonts w:ascii="仿宋_GB2312" w:hAnsi="仿宋_GB2312" w:cs="仿宋_GB2312" w:eastAsia="仿宋_GB2312"/>
                      <w:sz w:val="24"/>
                      <w:color w:val="000000"/>
                    </w:rPr>
                    <w:t>zzcy1</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审判组织成员</w:t>
                  </w:r>
                  <w:r>
                    <w:rPr>
                      <w:rFonts w:ascii="仿宋_GB2312" w:hAnsi="仿宋_GB2312" w:cs="仿宋_GB2312" w:eastAsia="仿宋_GB2312"/>
                      <w:sz w:val="24"/>
                      <w:color w:val="000000"/>
                    </w:rPr>
                    <w:t>1（可选择，默认审判长</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14</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sp</w:t>
                  </w:r>
                  <w:r>
                    <w:rPr>
                      <w:rFonts w:ascii="仿宋_GB2312" w:hAnsi="仿宋_GB2312" w:cs="仿宋_GB2312" w:eastAsia="仿宋_GB2312"/>
                      <w:sz w:val="24"/>
                      <w:color w:val="000000"/>
                    </w:rPr>
                    <w:t>zzcy2</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审判组织成员</w:t>
                  </w:r>
                  <w:r>
                    <w:rPr>
                      <w:rFonts w:ascii="仿宋_GB2312" w:hAnsi="仿宋_GB2312" w:cs="仿宋_GB2312" w:eastAsia="仿宋_GB2312"/>
                      <w:sz w:val="24"/>
                      <w:color w:val="000000"/>
                    </w:rPr>
                    <w:t>2（可选择，默认审判员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15</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sp</w:t>
                  </w:r>
                  <w:r>
                    <w:rPr>
                      <w:rFonts w:ascii="仿宋_GB2312" w:hAnsi="仿宋_GB2312" w:cs="仿宋_GB2312" w:eastAsia="仿宋_GB2312"/>
                      <w:sz w:val="24"/>
                      <w:color w:val="000000"/>
                    </w:rPr>
                    <w:t>zzcy3</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审判组织成员</w:t>
                  </w:r>
                  <w:r>
                    <w:rPr>
                      <w:rFonts w:ascii="仿宋_GB2312" w:hAnsi="仿宋_GB2312" w:cs="仿宋_GB2312" w:eastAsia="仿宋_GB2312"/>
                      <w:sz w:val="24"/>
                      <w:color w:val="000000"/>
                    </w:rPr>
                    <w:t>3（可选择，默认代理审判员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16</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sp</w:t>
                  </w:r>
                  <w:r>
                    <w:rPr>
                      <w:rFonts w:ascii="仿宋_GB2312" w:hAnsi="仿宋_GB2312" w:cs="仿宋_GB2312" w:eastAsia="仿宋_GB2312"/>
                      <w:sz w:val="24"/>
                      <w:color w:val="000000"/>
                    </w:rPr>
                    <w:t>zzcy4</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审判组织成员</w:t>
                  </w:r>
                  <w:r>
                    <w:rPr>
                      <w:rFonts w:ascii="仿宋_GB2312" w:hAnsi="仿宋_GB2312" w:cs="仿宋_GB2312" w:eastAsia="仿宋_GB2312"/>
                      <w:sz w:val="24"/>
                      <w:color w:val="000000"/>
                    </w:rPr>
                    <w:t>4（可选择，默认书记员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17</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ysjg</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一审结果</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18</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esjg</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二审结果</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19</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jg</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结果（再审复查）</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20</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jarq</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结案日期（如：20170601）</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21</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gdrq</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归档日期（如：20170601）</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22</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bmjb</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保密级别（可选择）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23</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bgqx</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保管期限（可选择）</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24</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gdh</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*归档号（系统自动生成，可修改）</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25</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cfwz</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存放位置</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26</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mlh</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目录号</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27</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ajh</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案卷号</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28</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bjcs</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*本卷册数</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29</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zjcs</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正卷册数</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30</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bjajs</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*本卷案件数(即有无并案情况，默认</w:t>
                  </w:r>
                  <w:r>
                    <w:rPr>
                      <w:rFonts w:ascii="仿宋_GB2312" w:hAnsi="仿宋_GB2312" w:cs="仿宋_GB2312" w:eastAsia="仿宋_GB2312"/>
                      <w:sz w:val="24"/>
                      <w:color w:val="000000"/>
                    </w:rPr>
                    <w:t>1)</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31</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bz</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备注</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32</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cbr</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*承办人</w:t>
                  </w:r>
                </w:p>
              </w:tc>
            </w:tr>
            <w:tr>
              <w:tc>
                <w:tcPr>
                  <w:tcW w:type="dxa" w:w="57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33</w:t>
                  </w:r>
                </w:p>
              </w:tc>
              <w:tc>
                <w:tcPr>
                  <w:tcW w:type="dxa" w:w="110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gdr</w:t>
                  </w:r>
                </w:p>
              </w:tc>
              <w:tc>
                <w:tcPr>
                  <w:tcW w:type="dxa" w:w="12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4"/>
                      <w:color w:val="000000"/>
                    </w:rPr>
                    <w:t>归档人</w:t>
                  </w:r>
                </w:p>
              </w:tc>
            </w:tr>
          </w:tbl>
          <w:p>
            <w:pPr>
              <w:pStyle w:val="null3"/>
            </w:pPr>
            <w:r>
              <w:rPr>
                <w:rFonts w:ascii="仿宋_GB2312" w:hAnsi="仿宋_GB2312" w:cs="仿宋_GB2312" w:eastAsia="仿宋_GB2312"/>
                <w:sz w:val="24"/>
                <w:b/>
              </w:rPr>
              <w:t>二、工作流程及技术要求</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、材料交接</w:t>
            </w:r>
          </w:p>
          <w:p>
            <w:pPr>
              <w:pStyle w:val="null3"/>
              <w:ind w:firstLine="480"/>
              <w:jc w:val="left"/>
            </w:pPr>
            <w:r>
              <w:rPr>
                <w:rFonts w:ascii="仿宋_GB2312" w:hAnsi="仿宋_GB2312" w:cs="仿宋_GB2312" w:eastAsia="仿宋_GB2312"/>
                <w:sz w:val="24"/>
              </w:rPr>
              <w:t>纸质档案进行移交</w:t>
            </w:r>
          </w:p>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书记员将需要扫描的材料清点后，将材料拿到扫描中心</w:t>
            </w:r>
          </w:p>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扫描中心人员将材料清点后，将详细材料内容登记到《法院电子卷宗随案同步生 成纸质材料交接登记表》上，与移交人核对无误后，双方签字，一式二份</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、扫描</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）扫描分辨率≥300dpi，24 位彩色</w:t>
            </w:r>
          </w:p>
          <w:p>
            <w:pPr>
              <w:pStyle w:val="null3"/>
              <w:ind w:firstLine="482"/>
              <w:jc w:val="left"/>
            </w:pPr>
            <w:r>
              <w:rPr>
                <w:rFonts w:ascii="仿宋_GB2312" w:hAnsi="仿宋_GB2312" w:cs="仿宋_GB2312" w:eastAsia="仿宋_GB2312"/>
                <w:sz w:val="24"/>
                <w:b/>
              </w:rPr>
              <w:t>3</w:t>
            </w:r>
            <w:r>
              <w:rPr>
                <w:rFonts w:ascii="仿宋_GB2312" w:hAnsi="仿宋_GB2312" w:cs="仿宋_GB2312" w:eastAsia="仿宋_GB2312"/>
                <w:sz w:val="24"/>
                <w:b/>
              </w:rPr>
              <w:t>、图形优化</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）.查图像分辨率是否正确，有无切字，图像是否清晰，</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）.对检查无误的图像进行校正、纠偏，去黑边，使图像清晰美观。</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4"/>
                <w:b/>
              </w:rPr>
              <w:t>、上传</w:t>
            </w:r>
          </w:p>
          <w:p>
            <w:pPr>
              <w:pStyle w:val="null3"/>
              <w:ind w:firstLine="480"/>
              <w:jc w:val="left"/>
            </w:pPr>
            <w:r>
              <w:rPr>
                <w:rFonts w:ascii="仿宋_GB2312" w:hAnsi="仿宋_GB2312" w:cs="仿宋_GB2312" w:eastAsia="仿宋_GB2312"/>
                <w:sz w:val="24"/>
              </w:rPr>
              <w:t>在图片处理完成后，进行上传，根据图片的内容上传到相应的目录下</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4"/>
                <w:b/>
              </w:rPr>
              <w:t>、电子卷宗转换电子档案</w:t>
            </w:r>
          </w:p>
          <w:p>
            <w:pPr>
              <w:pStyle w:val="null3"/>
              <w:ind w:firstLine="480"/>
              <w:jc w:val="left"/>
            </w:pPr>
            <w:r>
              <w:rPr>
                <w:rFonts w:ascii="仿宋_GB2312" w:hAnsi="仿宋_GB2312" w:cs="仿宋_GB2312" w:eastAsia="仿宋_GB2312"/>
                <w:sz w:val="24"/>
              </w:rPr>
              <w:t>在所有的材料全部上传到电子卷宗，检查无误后，联系书记员，进行电子卷宗转换电子档案</w:t>
            </w:r>
          </w:p>
          <w:p>
            <w:pPr>
              <w:pStyle w:val="null3"/>
              <w:ind w:firstLine="482"/>
              <w:jc w:val="left"/>
            </w:pPr>
            <w:r>
              <w:rPr>
                <w:rFonts w:ascii="仿宋_GB2312" w:hAnsi="仿宋_GB2312" w:cs="仿宋_GB2312" w:eastAsia="仿宋_GB2312"/>
                <w:sz w:val="24"/>
                <w:b/>
              </w:rPr>
              <w:t>6</w:t>
            </w:r>
            <w:r>
              <w:rPr>
                <w:rFonts w:ascii="仿宋_GB2312" w:hAnsi="仿宋_GB2312" w:cs="仿宋_GB2312" w:eastAsia="仿宋_GB2312"/>
                <w:sz w:val="24"/>
                <w:b/>
              </w:rPr>
              <w:t>、整理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）整理排序：整理档案前一定要确保档案所有材料已经全部移交完毕，在不缺资 料的情况下进行排序。如何确定材料的完整性，可与书记员进行协商，建议在书记员最 后一次移送该案件的材料时备注里面填写该案件材料已移送完毕，可归档字样；再确定 所有资料移送完成后，将所有纸质档案按照省高院的排列顺序进行排序。</w:t>
            </w:r>
          </w:p>
          <w:p>
            <w:pPr>
              <w:pStyle w:val="null3"/>
              <w:ind w:firstLine="482"/>
              <w:jc w:val="left"/>
            </w:pPr>
            <w:r>
              <w:rPr>
                <w:rFonts w:ascii="仿宋_GB2312" w:hAnsi="仿宋_GB2312" w:cs="仿宋_GB2312" w:eastAsia="仿宋_GB2312"/>
                <w:sz w:val="24"/>
                <w:b/>
              </w:rPr>
              <w:t xml:space="preserve"> 7</w:t>
            </w:r>
            <w:r>
              <w:rPr>
                <w:rFonts w:ascii="仿宋_GB2312" w:hAnsi="仿宋_GB2312" w:cs="仿宋_GB2312" w:eastAsia="仿宋_GB2312"/>
                <w:sz w:val="24"/>
                <w:b/>
              </w:rPr>
              <w:t>、编页</w:t>
            </w:r>
          </w:p>
          <w:p>
            <w:pPr>
              <w:pStyle w:val="null3"/>
              <w:ind w:firstLine="480"/>
              <w:jc w:val="left"/>
            </w:pPr>
            <w:r>
              <w:rPr>
                <w:rFonts w:ascii="仿宋_GB2312" w:hAnsi="仿宋_GB2312" w:cs="仿宋_GB2312" w:eastAsia="仿宋_GB2312"/>
                <w:sz w:val="24"/>
              </w:rPr>
              <w:t>按照纸质档案数字化国家标准进行纸质材料编页码；</w:t>
            </w:r>
          </w:p>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装订之前必须对纸质档案进行编页，编页原则以每册为单位进行编页；编页字体 大小如黄豆，不能太小，不能太大，在档案的右上角或左上角距离约 1 公分的位置进行 编页；原则上编页页码不能编在档案的中间位置及档案的字里行间；</w:t>
            </w:r>
          </w:p>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注意事项，编页需要提前和甲方沟通，采用哪种方式进行编页，编页时需要与系 统中上传的文件一一对应。</w:t>
            </w:r>
          </w:p>
          <w:p>
            <w:pPr>
              <w:pStyle w:val="null3"/>
              <w:ind w:firstLine="482"/>
              <w:jc w:val="left"/>
            </w:pPr>
            <w:r>
              <w:rPr>
                <w:rFonts w:ascii="仿宋_GB2312" w:hAnsi="仿宋_GB2312" w:cs="仿宋_GB2312" w:eastAsia="仿宋_GB2312"/>
                <w:sz w:val="24"/>
                <w:b/>
              </w:rPr>
              <w:t>8</w:t>
            </w:r>
            <w:r>
              <w:rPr>
                <w:rFonts w:ascii="仿宋_GB2312" w:hAnsi="仿宋_GB2312" w:cs="仿宋_GB2312" w:eastAsia="仿宋_GB2312"/>
                <w:sz w:val="24"/>
                <w:b/>
              </w:rPr>
              <w:t>、装订</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 对上传完成的电子卷宗文件顺序及内容与其纸质材料编码顺序及内容进行审 核，确保无误；</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 按档案归档要求进行组卷，案卷不得超过 200 页；</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 制作或者系统生成卷内目录，并打印；</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 折卷皮：根据纸质材料的厚度折出适合的卷脊（一般 30 页以下不折卷脊）；</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）填写或打印卷皮：根据系统生成的卷皮进行打印，或者按照案件信息填写卷皮；</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）装订应采用线绳四等分三孔左侧装订法，装订后的案卷要整齐、牢固、便于保 管和利用；</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）案卷无多页、无缺页、无掉页、无倒置、无混装；</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）案卷页面干净整洁，无污物、无折角、无毛茬、无缺损；</w:t>
            </w:r>
          </w:p>
          <w:p>
            <w:pPr>
              <w:pStyle w:val="null3"/>
              <w:ind w:firstLine="482"/>
              <w:jc w:val="left"/>
            </w:pPr>
            <w:r>
              <w:rPr>
                <w:rFonts w:ascii="仿宋_GB2312" w:hAnsi="仿宋_GB2312" w:cs="仿宋_GB2312" w:eastAsia="仿宋_GB2312"/>
                <w:sz w:val="24"/>
                <w:b/>
              </w:rPr>
              <w:t>9</w:t>
            </w:r>
            <w:r>
              <w:rPr>
                <w:rFonts w:ascii="仿宋_GB2312" w:hAnsi="仿宋_GB2312" w:cs="仿宋_GB2312" w:eastAsia="仿宋_GB2312"/>
                <w:sz w:val="24"/>
                <w:b/>
              </w:rPr>
              <w:t>、贴封贴、盖骑缝章</w:t>
            </w:r>
          </w:p>
          <w:p>
            <w:pPr>
              <w:pStyle w:val="null3"/>
              <w:ind w:firstLine="480"/>
              <w:jc w:val="left"/>
            </w:pPr>
            <w:r>
              <w:rPr>
                <w:rFonts w:ascii="仿宋_GB2312" w:hAnsi="仿宋_GB2312" w:cs="仿宋_GB2312" w:eastAsia="仿宋_GB2312"/>
                <w:sz w:val="24"/>
              </w:rPr>
              <w:t>案卷装订完成后，靠左侧背面沿案卷边缘粘贴归档封条（封条上必须有法官签名）；沿归档封条边加盖骑缝章。</w:t>
            </w:r>
          </w:p>
          <w:p>
            <w:pPr>
              <w:pStyle w:val="null3"/>
              <w:ind w:firstLine="482"/>
              <w:jc w:val="left"/>
            </w:pPr>
            <w:r>
              <w:rPr>
                <w:rFonts w:ascii="仿宋_GB2312" w:hAnsi="仿宋_GB2312" w:cs="仿宋_GB2312" w:eastAsia="仿宋_GB2312"/>
                <w:sz w:val="24"/>
                <w:b/>
              </w:rPr>
              <w:t>10</w:t>
            </w:r>
            <w:r>
              <w:rPr>
                <w:rFonts w:ascii="仿宋_GB2312" w:hAnsi="仿宋_GB2312" w:cs="仿宋_GB2312" w:eastAsia="仿宋_GB2312"/>
                <w:sz w:val="24"/>
                <w:b/>
              </w:rPr>
              <w:t>、档案归档</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）盖归档章：案卷装订完成后，在案卷正页右上角沿封面边线盖归档章；</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）将需要归档的卷宗信息填写收案本的指定位置，由档案室对归档卷宗进行检查，检查无误后，盖章确认签收。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）归档结束后扫描中心留一份归档清册（复印件）。</w:t>
            </w:r>
          </w:p>
          <w:p>
            <w:pPr>
              <w:pStyle w:val="null3"/>
              <w:ind w:firstLine="482"/>
              <w:jc w:val="left"/>
            </w:pPr>
            <w:r>
              <w:rPr>
                <w:rFonts w:ascii="仿宋_GB2312" w:hAnsi="仿宋_GB2312" w:cs="仿宋_GB2312" w:eastAsia="仿宋_GB2312"/>
                <w:sz w:val="24"/>
                <w:b/>
              </w:rPr>
              <w:t>11</w:t>
            </w:r>
            <w:r>
              <w:rPr>
                <w:rFonts w:ascii="仿宋_GB2312" w:hAnsi="仿宋_GB2312" w:cs="仿宋_GB2312" w:eastAsia="仿宋_GB2312"/>
                <w:sz w:val="24"/>
                <w:b/>
              </w:rPr>
              <w:t>、档案入库</w:t>
            </w:r>
          </w:p>
          <w:p>
            <w:pPr>
              <w:pStyle w:val="null3"/>
              <w:ind w:firstLine="480"/>
              <w:jc w:val="left"/>
            </w:pPr>
            <w:r>
              <w:rPr>
                <w:rFonts w:ascii="仿宋_GB2312" w:hAnsi="仿宋_GB2312" w:cs="仿宋_GB2312" w:eastAsia="仿宋_GB2312"/>
                <w:sz w:val="24"/>
              </w:rPr>
              <w:t>将档案室检查完所需归档的卷宗后，把卷宗放置在库房的指定位置，有档案室老师 进行查，检查合格后才算完成此项工作.</w:t>
            </w:r>
          </w:p>
          <w:p>
            <w:pPr>
              <w:pStyle w:val="null3"/>
              <w:ind w:firstLine="482"/>
              <w:jc w:val="left"/>
            </w:pPr>
            <w:r>
              <w:rPr>
                <w:rFonts w:ascii="仿宋_GB2312" w:hAnsi="仿宋_GB2312" w:cs="仿宋_GB2312" w:eastAsia="仿宋_GB2312"/>
                <w:sz w:val="24"/>
                <w:b/>
              </w:rPr>
              <w:t>三、其他要求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、加工场地由西安市未央区人民法院提供，所需设备由供应商自行准备。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、工作时间与西安市未央区人民法院同步。</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、为保证数据安全，进入加工场地的计算机不配备硬盘，公司提出硬盘数量及容 量要求后由西安市未央区人民法院提供，离场时硬盘交还西安市未央区人民法院。</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、供应商提供的数据格式须符合西安市未央区人民法院院相关标准要求。</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、提供终身维护。</w:t>
            </w:r>
          </w:p>
          <w:p>
            <w:pPr>
              <w:pStyle w:val="null3"/>
              <w:ind w:firstLine="482"/>
              <w:jc w:val="left"/>
            </w:pPr>
            <w:r>
              <w:rPr>
                <w:rFonts w:ascii="仿宋_GB2312" w:hAnsi="仿宋_GB2312" w:cs="仿宋_GB2312" w:eastAsia="仿宋_GB2312"/>
                <w:sz w:val="24"/>
                <w:b/>
              </w:rPr>
              <w:t>四、其他</w:t>
            </w:r>
          </w:p>
          <w:p>
            <w:pPr>
              <w:pStyle w:val="null3"/>
            </w:pPr>
            <w:r>
              <w:rPr>
                <w:rFonts w:ascii="仿宋_GB2312" w:hAnsi="仿宋_GB2312" w:cs="仿宋_GB2312" w:eastAsia="仿宋_GB2312"/>
                <w:sz w:val="24"/>
              </w:rPr>
              <w:t>质保期：验收合格后一年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招标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响应文件格式-标的清单）本项目服务范围：法院卷宗电子同步生成服务； 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由采购人和中标人共同对项目进行整体验收。其内容包括是否按照采购人要求进行服务、是否在规定时间内服务完毕。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2、服务商向采购人提供服务过程中的所有资料,以便采购人日后管理和维护。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2025年9月30日前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2025年12月25日前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3.5.1安全责任:乙方应对其工作人员在现场工作期间的一切行为负责，如安全事故责任及因此发生的人身损害赔偿和其它费用由乙方承担。 3.5.2保密条款:(1)中标单位应严格遵守采购单位有关保密规定，不得泄漏一切机密;(2)在技术服务期间，中标单位对接触到的有关采购单位商业活动、技术情报和技术资料等文件进行保密。3.5.3采购人根据中标人的中标单价(档案扫描和整理装订)，结合实际工作量据实结算每份卷宗整理的最终价格；根据实际卷宗整理（档案扫描和整理装订）数量乘以中标单价计算实际服务费用，最终款项金额达到预算金额，即合同终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省级及以上国家保密局颁发的《国家秘密载体印制资质》乙级或以上资质（业务种类范围须包含“涉密档案数字化加工”），其中省外乙级资质投标人应当向陕西省保密行政管理部门备案，提供备案证明（甲级资质无需提供）</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分项报价表 投标函 中小企业声明函 残疾人福利性单位声明函 资格证明材料 标的清单 商务要求应答表 投标文件封面 监狱企业的证明文件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投标人认为需要补充的其他内容 陕西省政府采购投标人拒绝政府采购领域商业贿赂承诺书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投标人对项目的理解，内容包含①项目背景及解读②项目基本情况等进行综合评审。 前述要求的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根据本项目采购内容及要求，提供相应的实施方案，内容包含①整体服务方案②实施流程③档案出库交接方案④档案扫描前整理方案⑤档案扫描方案⑥图像处理方案⑦异常情况处理方案⑧项目验收及移交方案等进行综合评审。 前述要求的内容均有描述且符合本项目要求的得24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投标人提供针对本项目的进度计划，内容包含①进度计划安排②进度计划保障措施等进行综合评审。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投标人提供针对本项目的重难点分析及解决措施，内容包含①针对本项目的重难点分析②针对重难点分析后的预防及解决措施等进行综合评审。 前述要求的内容均有描述且符合本项目要求的得5分；每缺少一项要求的方案内容扣2.5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投标人的质量保证方案，内容包括①质量管理体系②质量保障措施及手段等进行综合评审。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投标人的保密方案，内容包括①对档案实体的保密措施②对档案电子数据的保密措施③档案加工过程、保管归还保密制度④人员安全保密管理措施等进行综合评审。 前述要求的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投标人针对本项目采购需求，制定相应的管理制度。内容包括①现场服务工作纪律②现场办公制度③工作汇报制度等进行综合评审。 前述要求的内容均有描述且符合本项目要求的得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1.具有档案相关专业培训合格证书，得2分； 2.具有省级及以上保密部门颁发的秘密载体印制资质培训证书，得2分； 注： (1)提供项目负责人相关证书扫描件； (2)提供开标前三个月任意一个月投标人为其缴纳的社保证明扫描件，未提供或提供不全的，本项整体不得分；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投标人针对本项目采购需求，制定相应的人员配置方案，人员配置中（不含项目负责人）： 每具有1个档案相关专业培训合格证书，得1.5分，最高的得3分； 具有1个省级及以上保密部门颁发的秘密载体印制资质培训证书，得1.5分，最高的得3分； 注： (1)提供开标前三个月任意一个月投标人为人员缴纳的社保证明扫描件，未提供或提供不全的人员为无效人员，无效人员不得分； (2)同一人员同时具有档案专业培训合格证书和保密专业培训合格证书，不能重复计分；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投标人针对本项目采购需求，制定相应的售后服务方案。内容包括①售后质量保证措施②售后服务响应时间等进行综合评审。 前述要求的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投标人提供有效的质量管理体系认证证书，职业健康安全管理体系认证证书、环境管理体系认证证书每提供一个得1分，最高得3分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1.经资格审查、符合性审查合格的投标文件，其投标报价为有效报价，对符合政策性扣减的投标人的有效价格进行政策性扣减，并依据扣减后的价格（评审价格）进行价格评审。 2.投标报价得分：满足招标文件要求且投标报价最低的投标报价（综合单价合计）为评标基准价，其价格分为满分。价格分按照下列公式计算：投标报价得分=（评标基准价/投标报价）×10。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详见附件：投标人认为需要补充的其他内容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