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版本号：SSJY-CG（F）-202501520250520001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运动场改造项目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SSJY-CG（F）-2025015</w:t>
      </w:r>
      <w:r>
        <w:br/>
      </w:r>
      <w:r>
        <w:br/>
      </w:r>
      <w:r>
        <w:br/>
      </w:r>
    </w:p>
    <w:p>
      <w:pPr>
        <w:pStyle w:val="null3"/>
        <w:jc w:val="center"/>
        <w:outlineLvl w:val="2"/>
      </w:pPr>
      <w:r>
        <w:rPr>
          <w:rFonts w:ascii="仿宋_GB2312" w:hAnsi="仿宋_GB2312" w:cs="仿宋_GB2312" w:eastAsia="仿宋_GB2312"/>
          <w:sz w:val="28"/>
          <w:b/>
        </w:rPr>
        <w:t>西安市盲哑学校</w:t>
      </w:r>
    </w:p>
    <w:p>
      <w:pPr>
        <w:pStyle w:val="null3"/>
        <w:jc w:val="center"/>
        <w:outlineLvl w:val="2"/>
      </w:pPr>
      <w:r>
        <w:rPr>
          <w:rFonts w:ascii="仿宋_GB2312" w:hAnsi="仿宋_GB2312" w:cs="仿宋_GB2312" w:eastAsia="仿宋_GB2312"/>
          <w:sz w:val="28"/>
          <w:b/>
        </w:rPr>
        <w:t>陕西盛仕骄阳项目管理有限公司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陕西盛仕骄阳项目管理有限公司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西安市盲哑学校</w:t>
      </w:r>
      <w:r>
        <w:rPr>
          <w:rFonts w:ascii="仿宋_GB2312" w:hAnsi="仿宋_GB2312" w:cs="仿宋_GB2312" w:eastAsia="仿宋_GB2312"/>
        </w:rPr>
        <w:t>委托，拟对</w:t>
      </w:r>
      <w:r>
        <w:rPr>
          <w:rFonts w:ascii="仿宋_GB2312" w:hAnsi="仿宋_GB2312" w:cs="仿宋_GB2312" w:eastAsia="仿宋_GB2312"/>
        </w:rPr>
        <w:t>运动场改造项目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SSJY-CG（F）-2025015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运动场改造项目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西安市盲哑学校关于运动场改造项目，主要是塑胶、硅PU拆除及人造草坪拆除、排水沟修整、基础平整、基础土方开挖、透气型塑胶跑道、免填充人造草坪等工程。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采购包1（运动场改造项目）：属于专门面向小微企业采购。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rFonts w:ascii="仿宋_GB2312" w:hAnsi="仿宋_GB2312" w:cs="仿宋_GB2312" w:eastAsia="仿宋_GB2312"/>
        </w:rPr>
        <w:t>3、社会保障资金缴纳证明：供应商须提供2024年6月至今任意一个月已缴纳的社会保障资金缴存单据或社保机构开具的社会保险参保缴费情况证明，依法不需要缴纳社会保障资金的供应商应提供相关证明。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4、税收缴纳证明：供应商须提供2024年6月至今任意一个月已缴纳完税凭证或税务机关开具的完税证明，依法免税或无须缴纳税收的供应商应提供相关文件证明。</w:t>
      </w:r>
    </w:p>
    <w:p>
      <w:pPr>
        <w:pStyle w:val="null3"/>
      </w:pPr>
      <w:r>
        <w:rPr>
          <w:rFonts w:ascii="仿宋_GB2312" w:hAnsi="仿宋_GB2312" w:cs="仿宋_GB2312" w:eastAsia="仿宋_GB2312"/>
        </w:rPr>
        <w:t>5、履行合同所必需的设备和专业技术能力：具备履行合同所必需的设备和专业技术能力的证明材料(由供应商根据项目需求提供说明材料或者承诺)。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6、无重大违法记录的书面声明：提供参加政府采购活动前三年内在经营活动中没有重大违法记录的书面声明。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委托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8、企业资质：供应商须具备建设部门颁发有效的建筑工程施工总承包叁级（含叁级）以上资质，同时具备建设行政主管部门颁发有效的安全生产许可证。</w:t>
      </w:r>
    </w:p>
    <w:p>
      <w:pPr>
        <w:pStyle w:val="null3"/>
      </w:pPr>
      <w:r>
        <w:rPr>
          <w:rFonts w:ascii="仿宋_GB2312" w:hAnsi="仿宋_GB2312" w:cs="仿宋_GB2312" w:eastAsia="仿宋_GB2312"/>
        </w:rPr>
        <w:t>9、拟派项目负责人资质和专业要求：拟投入的项目负责人（项目经理）须具备有效的建筑工程专业贰级（含贰级）以上注册建造师执业资格和安全生产考核B证，且未担任其他在建工程项目（需提供企业书面承诺等证明材料）。</w:t>
      </w:r>
    </w:p>
    <w:p>
      <w:pPr>
        <w:pStyle w:val="null3"/>
      </w:pPr>
      <w:r>
        <w:rPr>
          <w:rFonts w:ascii="仿宋_GB2312" w:hAnsi="仿宋_GB2312" w:cs="仿宋_GB2312" w:eastAsia="仿宋_GB2312"/>
        </w:rPr>
        <w:t>10、信誉要求：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11、非联合体磋商：本项目不接受联合体磋商。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西安市盲哑学校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西安市北关振华路98号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陕西盛仕骄阳项目管理有限公司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西安市未央区凤城八路与渭滨路十字西北角水晶新天地6楼11603室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西安市盲哑学校</w:t>
      </w:r>
      <w:r>
        <w:rPr>
          <w:rFonts w:ascii="仿宋_GB2312" w:hAnsi="仿宋_GB2312" w:cs="仿宋_GB2312" w:eastAsia="仿宋_GB2312"/>
        </w:rPr>
        <w:t>和</w:t>
      </w:r>
      <w:r>
        <w:rPr>
          <w:rFonts w:ascii="仿宋_GB2312" w:hAnsi="仿宋_GB2312" w:cs="仿宋_GB2312" w:eastAsia="仿宋_GB2312"/>
        </w:rPr>
        <w:t>陕西盛仕骄阳项目管理有限公司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西安市盲哑学校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陕西盛仕骄阳项目管理有限公司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西安市盲哑学校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陕西盛仕骄阳项目管理有限公司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联系电话：029-89871668</w:t>
      </w:r>
    </w:p>
    <w:p>
      <w:pPr>
        <w:pStyle w:val="null3"/>
      </w:pPr>
      <w:r>
        <w:rPr>
          <w:rFonts w:ascii="仿宋_GB2312" w:hAnsi="仿宋_GB2312" w:cs="仿宋_GB2312" w:eastAsia="仿宋_GB2312"/>
        </w:rPr>
        <w:t>地址：西安市未央区凤城八路与渭滨路十字西北角水晶新天地6楼11603室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599,500.00</w:t>
      </w:r>
    </w:p>
    <w:p>
      <w:pPr>
        <w:pStyle w:val="null3"/>
      </w:pPr>
      <w:r>
        <w:rPr>
          <w:rFonts w:ascii="仿宋_GB2312" w:hAnsi="仿宋_GB2312" w:cs="仿宋_GB2312" w:eastAsia="仿宋_GB2312"/>
        </w:rPr>
        <w:t>采购包最高限价（元）: 599,500.00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运动场改造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599,500.00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标的名称：运动场改造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一、工程概况</w:t>
            </w:r>
          </w:p>
          <w:p>
            <w:pPr>
              <w:pStyle w:val="null3"/>
              <w:spacing w:before="105" w:after="105"/>
              <w:ind w:firstLine="480"/>
              <w:jc w:val="left"/>
            </w:pPr>
            <w:r>
              <w:rPr>
                <w:rFonts w:ascii="仿宋_GB2312" w:hAnsi="仿宋_GB2312" w:cs="仿宋_GB2312" w:eastAsia="仿宋_GB2312"/>
                <w:sz w:val="24"/>
              </w:rPr>
              <w:t>西安市盲哑学校关于运动场改造项目，主要是塑胶、硅</w:t>
            </w:r>
            <w:r>
              <w:rPr>
                <w:rFonts w:ascii="仿宋_GB2312" w:hAnsi="仿宋_GB2312" w:cs="仿宋_GB2312" w:eastAsia="仿宋_GB2312"/>
                <w:sz w:val="24"/>
              </w:rPr>
              <w:t>PU拆除及人造草坪拆除、排水沟修整、基础平整、基础土方开挖、透气型塑胶跑道、免填充人造草坪等工程。</w:t>
            </w:r>
          </w:p>
          <w:p>
            <w:pPr>
              <w:pStyle w:val="null3"/>
              <w:spacing w:before="105" w:after="105"/>
              <w:jc w:val="left"/>
            </w:pPr>
            <w:r>
              <w:rPr>
                <w:rFonts w:ascii="仿宋_GB2312" w:hAnsi="仿宋_GB2312" w:cs="仿宋_GB2312" w:eastAsia="仿宋_GB2312"/>
                <w:sz w:val="24"/>
              </w:rPr>
              <w:t>二、工程目标和承诺</w:t>
            </w:r>
          </w:p>
          <w:p>
            <w:pPr>
              <w:pStyle w:val="null3"/>
              <w:spacing w:before="105" w:after="105"/>
              <w:ind w:firstLine="480"/>
              <w:jc w:val="left"/>
            </w:pPr>
            <w:r>
              <w:rPr>
                <w:rFonts w:ascii="仿宋_GB2312" w:hAnsi="仿宋_GB2312" w:cs="仿宋_GB2312" w:eastAsia="仿宋_GB2312"/>
                <w:sz w:val="24"/>
              </w:rPr>
              <w:t>1、工程质量目标：合格</w:t>
            </w:r>
          </w:p>
          <w:p>
            <w:pPr>
              <w:pStyle w:val="null3"/>
              <w:spacing w:before="105" w:after="105"/>
              <w:ind w:firstLine="482"/>
              <w:jc w:val="left"/>
            </w:pPr>
            <w:r>
              <w:rPr>
                <w:rFonts w:ascii="仿宋_GB2312" w:hAnsi="仿宋_GB2312" w:cs="仿宋_GB2312" w:eastAsia="仿宋_GB2312"/>
                <w:sz w:val="24"/>
              </w:rPr>
              <w:t>2、工期：自合同签订之日起50日历日内。</w:t>
            </w:r>
          </w:p>
          <w:p>
            <w:pPr>
              <w:pStyle w:val="null3"/>
              <w:spacing w:before="105" w:after="105"/>
              <w:ind w:firstLine="482"/>
              <w:jc w:val="left"/>
            </w:pPr>
            <w:r>
              <w:rPr>
                <w:rFonts w:ascii="仿宋_GB2312" w:hAnsi="仿宋_GB2312" w:cs="仿宋_GB2312" w:eastAsia="仿宋_GB2312"/>
                <w:sz w:val="24"/>
              </w:rPr>
              <w:t>3、质保期：自工程竣工验收合格之日起2年</w:t>
            </w:r>
          </w:p>
          <w:p>
            <w:pPr>
              <w:pStyle w:val="null3"/>
              <w:spacing w:before="105" w:after="105"/>
              <w:ind w:firstLine="480"/>
              <w:jc w:val="left"/>
            </w:pPr>
            <w:r>
              <w:rPr>
                <w:rFonts w:ascii="仿宋_GB2312" w:hAnsi="仿宋_GB2312" w:cs="仿宋_GB2312" w:eastAsia="仿宋_GB2312"/>
                <w:sz w:val="24"/>
              </w:rPr>
              <w:t>4、安全生产目标：无伤亡事故、无重大机械事故、无扬尘、无噪音扰民。</w:t>
            </w:r>
          </w:p>
          <w:p>
            <w:pPr>
              <w:pStyle w:val="null3"/>
              <w:spacing w:before="105" w:after="105"/>
              <w:jc w:val="left"/>
            </w:pPr>
            <w:r>
              <w:rPr>
                <w:rFonts w:ascii="仿宋_GB2312" w:hAnsi="仿宋_GB2312" w:cs="仿宋_GB2312" w:eastAsia="仿宋_GB2312"/>
                <w:sz w:val="24"/>
              </w:rPr>
              <w:t>三、报价说明</w:t>
            </w:r>
          </w:p>
          <w:p>
            <w:pPr>
              <w:pStyle w:val="null3"/>
              <w:spacing w:before="105" w:after="105"/>
              <w:ind w:firstLine="480"/>
              <w:jc w:val="left"/>
            </w:pPr>
            <w:r>
              <w:rPr>
                <w:rFonts w:ascii="仿宋_GB2312" w:hAnsi="仿宋_GB2312" w:cs="仿宋_GB2312" w:eastAsia="仿宋_GB2312"/>
                <w:sz w:val="24"/>
              </w:rPr>
              <w:t>1、工程量清单为竞争性磋商文件的组成部分，一经成交且签订合同，即成为合同的组成部分。</w:t>
            </w:r>
          </w:p>
          <w:p>
            <w:pPr>
              <w:pStyle w:val="null3"/>
              <w:spacing w:before="105" w:after="105"/>
              <w:ind w:firstLine="480"/>
              <w:jc w:val="left"/>
            </w:pPr>
            <w:r>
              <w:rPr>
                <w:rFonts w:ascii="仿宋_GB2312" w:hAnsi="仿宋_GB2312" w:cs="仿宋_GB2312" w:eastAsia="仿宋_GB2312"/>
                <w:sz w:val="24"/>
              </w:rPr>
              <w:t>2、工程量清单中各项金额均以人民币（元）结算。</w:t>
            </w:r>
          </w:p>
          <w:p>
            <w:pPr>
              <w:pStyle w:val="null3"/>
              <w:spacing w:before="105" w:after="105"/>
              <w:ind w:firstLine="480"/>
              <w:jc w:val="left"/>
            </w:pPr>
            <w:r>
              <w:rPr>
                <w:rFonts w:ascii="仿宋_GB2312" w:hAnsi="仿宋_GB2312" w:cs="仿宋_GB2312" w:eastAsia="仿宋_GB2312"/>
                <w:sz w:val="24"/>
              </w:rPr>
              <w:t>3、供应商不得随意改动工程量清单内容，评标时均按采购人所发的工程量清单进行检查和评审。</w:t>
            </w:r>
          </w:p>
          <w:p>
            <w:pPr>
              <w:pStyle w:val="null3"/>
              <w:spacing w:before="105" w:after="105"/>
              <w:ind w:firstLine="480"/>
              <w:jc w:val="left"/>
            </w:pPr>
            <w:r>
              <w:rPr>
                <w:rFonts w:ascii="仿宋_GB2312" w:hAnsi="仿宋_GB2312" w:cs="仿宋_GB2312" w:eastAsia="仿宋_GB2312"/>
                <w:sz w:val="24"/>
              </w:rPr>
              <w:t>4、</w:t>
            </w:r>
            <w:r>
              <w:rPr>
                <w:rFonts w:ascii="仿宋_GB2312" w:hAnsi="仿宋_GB2312" w:cs="仿宋_GB2312" w:eastAsia="仿宋_GB2312"/>
                <w:sz w:val="24"/>
              </w:rPr>
              <w:t>磋商报价为完成本项目所发生的一切费用,包括施工及质量保修期间所有含税费用，如有遗漏，视为已包含在内。</w:t>
            </w:r>
          </w:p>
          <w:p>
            <w:pPr>
              <w:pStyle w:val="null3"/>
              <w:spacing w:before="105" w:after="105"/>
              <w:ind w:firstLine="480"/>
              <w:jc w:val="left"/>
            </w:pPr>
            <w:r>
              <w:rPr>
                <w:rFonts w:ascii="仿宋_GB2312" w:hAnsi="仿宋_GB2312" w:cs="仿宋_GB2312" w:eastAsia="仿宋_GB2312"/>
                <w:sz w:val="24"/>
              </w:rPr>
              <w:t>5、本项目为固定总价，一次包死，交钥匙工程。</w:t>
            </w:r>
          </w:p>
          <w:p>
            <w:pPr>
              <w:pStyle w:val="null3"/>
              <w:spacing w:before="105" w:after="105"/>
              <w:jc w:val="left"/>
            </w:pPr>
            <w:r>
              <w:rPr>
                <w:rFonts w:ascii="仿宋_GB2312" w:hAnsi="仿宋_GB2312" w:cs="仿宋_GB2312" w:eastAsia="仿宋_GB2312"/>
                <w:sz w:val="24"/>
              </w:rPr>
              <w:t>四、编制依据</w:t>
            </w:r>
          </w:p>
          <w:p>
            <w:pPr>
              <w:pStyle w:val="null3"/>
              <w:spacing w:before="105" w:after="105"/>
              <w:ind w:firstLine="480"/>
              <w:jc w:val="left"/>
            </w:pPr>
            <w:r>
              <w:rPr>
                <w:rFonts w:ascii="仿宋_GB2312" w:hAnsi="仿宋_GB2312" w:cs="仿宋_GB2312" w:eastAsia="仿宋_GB2312"/>
                <w:sz w:val="24"/>
              </w:rPr>
              <w:t>1、依据《陕西省建设工程工程量清单计价规则》（2009）、《陕西省建设工程工程量清单计价费率》（2009）；</w:t>
            </w:r>
          </w:p>
          <w:p>
            <w:pPr>
              <w:pStyle w:val="null3"/>
              <w:spacing w:before="105" w:after="105"/>
              <w:ind w:firstLine="480"/>
              <w:jc w:val="left"/>
            </w:pPr>
            <w:r>
              <w:rPr>
                <w:rFonts w:ascii="仿宋_GB2312" w:hAnsi="仿宋_GB2312" w:cs="仿宋_GB2312" w:eastAsia="仿宋_GB2312"/>
                <w:sz w:val="24"/>
              </w:rPr>
              <w:t>2、陕西省住房和城乡建设厅关于调整房屋建筑和市政基础设施工程税率的通知（陕建发[2017]270号）；</w:t>
            </w:r>
          </w:p>
          <w:p>
            <w:pPr>
              <w:pStyle w:val="null3"/>
              <w:spacing w:before="105" w:after="105"/>
              <w:ind w:firstLine="480"/>
              <w:jc w:val="left"/>
            </w:pPr>
            <w:r>
              <w:rPr>
                <w:rFonts w:ascii="仿宋_GB2312" w:hAnsi="仿宋_GB2312" w:cs="仿宋_GB2312" w:eastAsia="仿宋_GB2312"/>
                <w:sz w:val="24"/>
              </w:rPr>
              <w:t>3、《关于重新调整建设工程计价依据增值税税率的通知》（陕建发[2019]45号）；</w:t>
            </w:r>
          </w:p>
          <w:p>
            <w:pPr>
              <w:pStyle w:val="null3"/>
              <w:spacing w:before="105" w:after="105"/>
              <w:ind w:firstLine="480"/>
              <w:jc w:val="left"/>
            </w:pPr>
            <w:r>
              <w:rPr>
                <w:rFonts w:ascii="仿宋_GB2312" w:hAnsi="仿宋_GB2312" w:cs="仿宋_GB2312" w:eastAsia="仿宋_GB2312"/>
                <w:sz w:val="24"/>
              </w:rPr>
              <w:t>4、陕建发〔2021〕1021号文《关于全省统一停止收缴建筑业劳保费用的通知》；</w:t>
            </w:r>
          </w:p>
          <w:p>
            <w:pPr>
              <w:pStyle w:val="null3"/>
              <w:spacing w:before="105" w:after="105"/>
              <w:ind w:firstLine="480"/>
              <w:jc w:val="left"/>
            </w:pPr>
            <w:r>
              <w:rPr>
                <w:rFonts w:ascii="仿宋_GB2312" w:hAnsi="仿宋_GB2312" w:cs="仿宋_GB2312" w:eastAsia="仿宋_GB2312"/>
                <w:sz w:val="24"/>
              </w:rPr>
              <w:t>5、规费记取标准执行陕西省住房和城乡建设厅关于建筑施工安全生产责任保险费用计价的通知（陕建发〔2020〕1097号）；</w:t>
            </w:r>
          </w:p>
          <w:p>
            <w:pPr>
              <w:pStyle w:val="null3"/>
              <w:spacing w:before="105" w:after="105"/>
              <w:ind w:firstLine="480"/>
              <w:jc w:val="left"/>
            </w:pPr>
            <w:r>
              <w:rPr>
                <w:rFonts w:ascii="仿宋_GB2312" w:hAnsi="仿宋_GB2312" w:cs="仿宋_GB2312" w:eastAsia="仿宋_GB2312"/>
                <w:sz w:val="24"/>
              </w:rPr>
              <w:t>6、《关于调整房屋建筑和市政基础设施工程工程量清单计价综合人工单价的通知》(陕建发〔2021〕1097号)文件。</w:t>
            </w:r>
          </w:p>
          <w:p>
            <w:pPr>
              <w:pStyle w:val="null3"/>
              <w:spacing w:before="105" w:after="105"/>
              <w:jc w:val="left"/>
            </w:pPr>
            <w:r>
              <w:rPr>
                <w:rFonts w:ascii="仿宋_GB2312" w:hAnsi="仿宋_GB2312" w:cs="仿宋_GB2312" w:eastAsia="仿宋_GB2312"/>
                <w:sz w:val="24"/>
              </w:rPr>
              <w:t>五、安全要求</w:t>
            </w:r>
          </w:p>
          <w:p>
            <w:pPr>
              <w:pStyle w:val="null3"/>
              <w:spacing w:before="105" w:after="105"/>
              <w:ind w:firstLine="480"/>
              <w:jc w:val="left"/>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spacing w:before="105" w:after="105"/>
              <w:jc w:val="left"/>
            </w:pPr>
            <w:r>
              <w:rPr>
                <w:rFonts w:ascii="仿宋_GB2312" w:hAnsi="仿宋_GB2312" w:cs="仿宋_GB2312" w:eastAsia="仿宋_GB2312"/>
                <w:sz w:val="24"/>
              </w:rPr>
              <w:t>六、工程施工基本要求</w:t>
            </w:r>
          </w:p>
          <w:p>
            <w:pPr>
              <w:pStyle w:val="null3"/>
              <w:spacing w:before="105" w:after="105"/>
              <w:ind w:firstLine="480"/>
              <w:jc w:val="left"/>
            </w:pPr>
            <w:r>
              <w:rPr>
                <w:rFonts w:ascii="仿宋_GB2312" w:hAnsi="仿宋_GB2312" w:cs="仿宋_GB2312" w:eastAsia="仿宋_GB2312"/>
                <w:sz w:val="24"/>
              </w:rPr>
              <w:t>严格遵循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spacing w:before="105" w:after="105"/>
              <w:jc w:val="left"/>
            </w:pPr>
            <w:r>
              <w:rPr>
                <w:rFonts w:ascii="仿宋_GB2312" w:hAnsi="仿宋_GB2312" w:cs="仿宋_GB2312" w:eastAsia="仿宋_GB2312"/>
                <w:sz w:val="24"/>
              </w:rPr>
              <w:t>七、其他说明</w:t>
            </w:r>
          </w:p>
          <w:p>
            <w:pPr>
              <w:pStyle w:val="null3"/>
              <w:spacing w:before="105" w:after="105"/>
              <w:ind w:firstLine="480"/>
              <w:jc w:val="left"/>
            </w:pPr>
            <w:r>
              <w:rPr>
                <w:rFonts w:ascii="仿宋_GB2312" w:hAnsi="仿宋_GB2312" w:cs="仿宋_GB2312" w:eastAsia="仿宋_GB2312"/>
                <w:sz w:val="24"/>
              </w:rPr>
              <w:t>本工程计价软件采用广联达计价软件</w:t>
            </w:r>
            <w:r>
              <w:rPr>
                <w:rFonts w:ascii="仿宋_GB2312" w:hAnsi="仿宋_GB2312" w:cs="仿宋_GB2312" w:eastAsia="仿宋_GB2312"/>
                <w:sz w:val="24"/>
              </w:rPr>
              <w:t>GCCP6.0陕西地区6.4100.23.122版本。</w:t>
            </w:r>
          </w:p>
          <w:p>
            <w:pPr>
              <w:pStyle w:val="null3"/>
              <w:ind w:firstLine="480"/>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 2.本项目采购标的对应的中小企业划分标准所属行业为建筑业。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供应商须提供2024年6月至今任意一个月已缴纳的社会保障资金缴存单据或社保机构开具的社会保险参保缴费情况证明，依法不需要缴纳社会保障资金的供应商应提供相关证明。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供应商须提供2024年6月至今任意一个月已缴纳完税凭证或税务机关开具的完税证明，依法免税或无须缴纳税收的供应商应提供相关文件证明。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供应商须具备建设部门颁发有效的建筑工程施工总承包叁级（含叁级）以上资质，同时具备建设行政主管部门颁发有效的安全生产许可证。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拟投入的项目负责人（项目经理）须具备有效的建筑工程专业贰级（含贰级）以上注册建造师执业资格和安全生产考核B证，且未担任其他在建工程项目（需提供企业书面承诺等证明材料）。</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磋商报价未超过最高限价(合格)； 磋商报价超过最高限价(不合格 ) 。</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响应文件的签署、盖章满足磋商文件要求(合格)； 响应文件的签署、盖章不满足磋商文件要求(不合格)。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强制优先采购产品承诺函 响应文件封面 供应商应提交的相关资格证明材料.docx 项目管理机构组成表 残疾人福利性单位声明函 施工方案.docx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磋商有效期满足磋商文件要求(合格)； 响应文件无磋商有效期或有效期不满足磋商文件要求(不合格)。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工期满足磋商文件要求（合格）；工期不满足磋商文件要求（不合格）。</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全面响应，没有采购人不能接受的附加条件（合格）；未全面响应，有采购人不能接受的附加条件（不合格）。</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不存在法律、法规和磋商文件规定的其他无效情形(合格)；存在法律、法规和磋商文件规定的其他无效情形(不合格) 。</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强制优先采购产品承诺函 响应文件封面 供应商应提交的相关资格证明材料.docx 项目管理机构组成表 残疾人福利性单位声明函 施工方案.docx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评审内容：确保安全生产的技术组织措施 评审标准：技术组织措施切合本项目实际情况，内容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具有2022年（附合同协议书或中标通知书等相关证明材料；已合同签订日期为准）至今同类项目业绩，每提供1个得2分，满分6分。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