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版本号：SDZC2025--08020250519001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2025-2027年法律咨询服务项目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SDZC2025--080</w:t>
      </w:r>
      <w:r>
        <w:br/>
      </w:r>
      <w:r>
        <w:br/>
      </w:r>
      <w:r>
        <w:br/>
      </w:r>
    </w:p>
    <w:p>
      <w:pPr>
        <w:pStyle w:val="null3"/>
        <w:jc w:val="center"/>
        <w:outlineLvl w:val="2"/>
      </w:pPr>
      <w:r>
        <w:rPr>
          <w:rFonts w:ascii="仿宋_GB2312" w:hAnsi="仿宋_GB2312" w:cs="仿宋_GB2312" w:eastAsia="仿宋_GB2312"/>
          <w:sz w:val="28"/>
          <w:b/>
        </w:rPr>
        <w:t>西安市不动产信息档案管理中心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西安市不动产信息档案管理中心</w:t>
      </w:r>
      <w:r>
        <w:rPr>
          <w:rFonts w:ascii="仿宋_GB2312" w:hAnsi="仿宋_GB2312" w:cs="仿宋_GB2312" w:eastAsia="仿宋_GB2312"/>
        </w:rPr>
        <w:t>委托，拟对</w:t>
      </w:r>
      <w:r>
        <w:rPr>
          <w:rFonts w:ascii="仿宋_GB2312" w:hAnsi="仿宋_GB2312" w:cs="仿宋_GB2312" w:eastAsia="仿宋_GB2312"/>
        </w:rPr>
        <w:t>2025-2027年法律咨询服务项目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SDZC2025--080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2025-2027年法律咨询服务项目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2025-2027年法律咨询服务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 ：提供有效存续的企业营业执照（副本）/事业单位法人证书/专业服务机构执业许可证/民办非企业单位登记证书。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 ：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 ：税收缴纳证明：提供截止至开标时间前一年内任意一个月的缴纳凭据（增值税、企业所得税至少提供一种，依法免税的投标人应提供相关文件证明）。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 ：社会保障资金缴纳证明：提供截止至开标时间前六个月内任意一个月的社保缴纳凭据或社保机构开具的社会保险参保缴纳情况证明（依法不需要缴纳社会保障资金的投标人应提供相关证明）。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 ：提供具有履行本合同所必需的设备和专业技术能力的说明及承诺（提供书面说明及承诺，加盖投标人公章）。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信用查询：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9、控股关系查询或声明：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西安市不动产信息档案管理中心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西安市浐灞生态区浐河东路和金桃路口</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李守山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18691892297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赵倩茹（9号工位）、张爱君、魏蕾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一）成交人在领取成交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（二）汇款账户 1.开户行名称：陕西上德招标有限公司 2.开 户 行：西安银行股份有限公司文景路支行 3.账 号：707011510000013522 财务部联系方式： 029-86673953、029-86518381、029-89299829、029-89293231 转8033 备注：供应商在汇款时须注明项目编号+项目简称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西安市不动产信息档案管理中心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西安市不动产信息档案管理中心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西安市不动产信息档案管理中心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1）合同文本、合同附件、招标文件、投标文件。 2）符合国家及行业标准。3.通过采购人组织的评估会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联系人：赵倩茹（9号工位）、张爱君、魏蕾</w:t>
      </w:r>
    </w:p>
    <w:p>
      <w:pPr>
        <w:pStyle w:val="null3"/>
      </w:pPr>
      <w:r>
        <w:rPr>
          <w:rFonts w:ascii="仿宋_GB2312" w:hAnsi="仿宋_GB2312" w:cs="仿宋_GB2312" w:eastAsia="仿宋_GB2312"/>
        </w:rPr>
        <w:t>联系电话：029-86673953、029-86518381、029-89299829、029-89293231 转8009</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2025年6月9日-2028年6月8日法律服务项目（服务期3年，合同一年一签）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2025-2027年度法律咨询服务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标的名称：2025-2027年度法律咨询服务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1.日常法律咨询，参与信访事项、信访疑难案件化解，并从法律角度给出相应的可操作、可执行的解决方案和法律意见书。</w:t>
            </w:r>
          </w:p>
          <w:p>
            <w:pPr>
              <w:pStyle w:val="null3"/>
            </w:pPr>
            <w:r>
              <w:rPr>
                <w:rFonts w:ascii="仿宋_GB2312" w:hAnsi="仿宋_GB2312" w:cs="仿宋_GB2312" w:eastAsia="仿宋_GB2312"/>
              </w:rPr>
              <w:t>2.参与群众来访、领导接访、听证会等相关活动，接受重大突发性事件咨询，并给出相应法律意见及相关法律文书。</w:t>
            </w:r>
          </w:p>
          <w:p>
            <w:pPr>
              <w:pStyle w:val="null3"/>
            </w:pPr>
            <w:r>
              <w:rPr>
                <w:rFonts w:ascii="仿宋_GB2312" w:hAnsi="仿宋_GB2312" w:cs="仿宋_GB2312" w:eastAsia="仿宋_GB2312"/>
              </w:rPr>
              <w:t>3开展不动产登记等工作相关的知识培训和讲座。</w:t>
            </w:r>
          </w:p>
          <w:p>
            <w:pPr>
              <w:pStyle w:val="null3"/>
            </w:pPr>
            <w:r>
              <w:rPr>
                <w:rFonts w:ascii="仿宋_GB2312" w:hAnsi="仿宋_GB2312" w:cs="仿宋_GB2312" w:eastAsia="仿宋_GB2312"/>
              </w:rPr>
              <w:t>4.参与相关规范性文件的起草、调研论证、审查等工作，对重大决策和重要行为提供法律咨询，并出具合法性审查意见。</w:t>
            </w:r>
          </w:p>
          <w:p>
            <w:pPr>
              <w:pStyle w:val="null3"/>
            </w:pPr>
            <w:r>
              <w:rPr>
                <w:rFonts w:ascii="仿宋_GB2312" w:hAnsi="仿宋_GB2312" w:cs="仿宋_GB2312" w:eastAsia="仿宋_GB2312"/>
              </w:rPr>
              <w:t>5.提供工作日专人坐班服务，收集法律问题，针对性地给出合理合规的解决方案。</w:t>
            </w:r>
          </w:p>
          <w:p>
            <w:pPr>
              <w:pStyle w:val="null3"/>
            </w:pPr>
            <w:r>
              <w:rPr>
                <w:rFonts w:ascii="仿宋_GB2312" w:hAnsi="仿宋_GB2312" w:cs="仿宋_GB2312" w:eastAsia="仿宋_GB2312"/>
              </w:rPr>
              <w:t>6.代理涉及中心业务的各类行政复议、诉讼、仲裁案件或其他重大事项，草拟、修改和审查相关文书。</w:t>
            </w:r>
          </w:p>
          <w:p>
            <w:pPr>
              <w:pStyle w:val="null3"/>
            </w:pPr>
            <w:r>
              <w:rPr>
                <w:rFonts w:ascii="仿宋_GB2312" w:hAnsi="仿宋_GB2312" w:cs="仿宋_GB2312" w:eastAsia="仿宋_GB2312"/>
              </w:rPr>
              <w:t>7.参与合同的洽谈，起草、审查合同及其他有关法律文书，出具专业审查意见。</w:t>
            </w:r>
          </w:p>
          <w:p>
            <w:pPr>
              <w:pStyle w:val="null3"/>
            </w:pPr>
            <w:r>
              <w:rPr>
                <w:rFonts w:ascii="仿宋_GB2312" w:hAnsi="仿宋_GB2312" w:cs="仿宋_GB2312" w:eastAsia="仿宋_GB2312"/>
              </w:rPr>
              <w:t>8.及时整理归档代理案件的有关资料，在服务期结束后将资料移交至采购人。</w:t>
            </w:r>
          </w:p>
          <w:p>
            <w:pPr>
              <w:pStyle w:val="null3"/>
            </w:pPr>
            <w:r>
              <w:rPr>
                <w:rFonts w:ascii="仿宋_GB2312" w:hAnsi="仿宋_GB2312" w:cs="仿宋_GB2312" w:eastAsia="仿宋_GB2312"/>
              </w:rPr>
              <w:t>9.其他双方商定的事务。</w:t>
            </w:r>
          </w:p>
          <w:p>
            <w:pPr>
              <w:pStyle w:val="null3"/>
            </w:pPr>
            <w:r>
              <w:rPr>
                <w:rFonts w:ascii="仿宋_GB2312" w:hAnsi="仿宋_GB2312" w:cs="仿宋_GB2312" w:eastAsia="仿宋_GB2312"/>
              </w:rPr>
              <w:t>（二）服务标准</w:t>
            </w:r>
          </w:p>
          <w:p>
            <w:pPr>
              <w:pStyle w:val="null3"/>
            </w:pPr>
            <w:r>
              <w:rPr>
                <w:rFonts w:ascii="仿宋_GB2312" w:hAnsi="仿宋_GB2312" w:cs="仿宋_GB2312" w:eastAsia="仿宋_GB2312"/>
              </w:rPr>
              <w:t>1.提供固定律师团队组成的法律服务团队。团队成员不少于4人，研究生学历; 熟悉土地、房屋、规划等方面的法律法规和政策；擅长信访接待、重大突发问题处理能力强；主办律师负责统筹团队服务和甲方所有相关法律服务,须在不动产登记领域有5年以上律师执业年限，对不动产登记行政法规、制度的理解适用具有理论研究能力，行政复议、行政诉讼实务经验丰富。</w:t>
            </w:r>
          </w:p>
          <w:p>
            <w:pPr>
              <w:pStyle w:val="null3"/>
            </w:pPr>
            <w:r>
              <w:rPr>
                <w:rFonts w:ascii="仿宋_GB2312" w:hAnsi="仿宋_GB2312" w:cs="仿宋_GB2312" w:eastAsia="仿宋_GB2312"/>
              </w:rPr>
              <w:t>2.解答法律咨询和出具书面意见，应秉承专业、负责的态度；遇到紧急业务时，应及时、准确回复。</w:t>
            </w:r>
          </w:p>
          <w:p>
            <w:pPr>
              <w:pStyle w:val="null3"/>
            </w:pPr>
            <w:r>
              <w:rPr>
                <w:rFonts w:ascii="仿宋_GB2312" w:hAnsi="仿宋_GB2312" w:cs="仿宋_GB2312" w:eastAsia="仿宋_GB2312"/>
              </w:rPr>
              <w:t>3.提供工作日坐班服务。坐班人员须通过国家司法考试，有2年以上从业经验；坐班时间每周不少于2次，每次一天。坐班时间、地点和工作纪律服从采购人统一安排。</w:t>
            </w:r>
          </w:p>
          <w:p>
            <w:pPr>
              <w:pStyle w:val="null3"/>
            </w:pPr>
            <w:r>
              <w:rPr>
                <w:rFonts w:ascii="仿宋_GB2312" w:hAnsi="仿宋_GB2312" w:cs="仿宋_GB2312" w:eastAsia="仿宋_GB2312"/>
              </w:rPr>
              <w:t>4.开展不动产登记相关培训（不少于4次）。针对全体工作人员或者业务专项，内容包括法律法规新增业务、重点业务和既有业务的完善。</w:t>
            </w:r>
          </w:p>
          <w:p>
            <w:pPr>
              <w:pStyle w:val="null3"/>
            </w:pPr>
            <w:r>
              <w:rPr>
                <w:rFonts w:ascii="仿宋_GB2312" w:hAnsi="仿宋_GB2312" w:cs="仿宋_GB2312" w:eastAsia="仿宋_GB2312"/>
              </w:rPr>
              <w:t>5.参与草拟、制定、审查中心承办的政府信息公开、行政复议、诉讼、仲裁等法律文书，提供专业指导和修改意见。</w:t>
            </w:r>
          </w:p>
          <w:p>
            <w:pPr>
              <w:pStyle w:val="null3"/>
            </w:pPr>
            <w:r>
              <w:rPr>
                <w:rFonts w:ascii="仿宋_GB2312" w:hAnsi="仿宋_GB2312" w:cs="仿宋_GB2312" w:eastAsia="仿宋_GB2312"/>
              </w:rPr>
              <w:t>6.代理行政复议、诉讼、仲裁等案件时，应委派业务精湛、经验丰富、负责敬业的律师负责，调查、收集证据，出庭应诉，并出具书面代理意见。</w:t>
            </w:r>
          </w:p>
          <w:p>
            <w:pPr>
              <w:pStyle w:val="null3"/>
            </w:pPr>
            <w:r>
              <w:rPr>
                <w:rFonts w:ascii="仿宋_GB2312" w:hAnsi="仿宋_GB2312" w:cs="仿宋_GB2312" w:eastAsia="仿宋_GB2312"/>
              </w:rPr>
              <w:t>7.服务团队成员应相对固定，不得随意更换。如有特殊情况应经甲方同意。</w:t>
            </w:r>
          </w:p>
          <w:p>
            <w:pPr>
              <w:pStyle w:val="null3"/>
              <w:jc w:val="both"/>
            </w:pPr>
            <w:r>
              <w:rPr>
                <w:rFonts w:ascii="仿宋_GB2312" w:hAnsi="仿宋_GB2312" w:cs="仿宋_GB2312" w:eastAsia="仿宋_GB2312"/>
                <w:sz w:val="21"/>
              </w:rPr>
              <w:t>8.做好服务过程中不动产登记信息的保密工作，与采购方签订《保密协议》。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根据项目情况合理配置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根据项目情况合理配置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供应商应遵照国家规范规定的技术服务内容及要求作出明确承诺</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西安市不动产信息档案管理中心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1）服务期间，采购人将对成交单位的人员调配、响应程度、工作效率、职业道德、业务能力、服务质量等情况进行考核，并在每年年终对响应人的服务进行综合验收。 2）验收依据：2.1合同文本、合同附件、竞争性磋商文件、竞争性磋商响应文件。2.2国内相应的标准、规范。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服务期限为三年，合同一年一签，合同签订后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每年度服务期结束且项目验收合格后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2)未按合同要求提供服务方案或服务方案质量不能满足采购技术要求，采购人有权终止合同，并对成交单位违约行为进行追究，同时按《中华人民共和国政府采购法》的有关规定进行处罚。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成交人在领取成交通知书时提供一正两副纸质竞争性磋商响应文件，纸质竞争性磋商响应文件采用书籍（胶装）方式装订成册，与电子竞争性磋商响应文件一致的签字、盖章的完整版本。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资格审查证明文件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资格审查证明文件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资格审查证明文件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资格审查证明文件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资格审查证明文件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资格审查证明文件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资格审查证明文件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资格审查证明文件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资格审查证明文件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资格审查证明文件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资格审查证明文件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供应商名称与获取磋商文件的单位名称不一致</w:t>
            </w:r>
          </w:p>
        </w:tc>
        <w:tc>
          <w:tcPr>
            <w:tcW w:type="dxa" w:w="1661"/>
          </w:tcPr>
          <w:p>
            <w:pPr>
              <w:pStyle w:val="null3"/>
            </w:pPr>
            <w:r>
              <w:rPr>
                <w:rFonts w:ascii="仿宋_GB2312" w:hAnsi="仿宋_GB2312" w:cs="仿宋_GB2312" w:eastAsia="仿宋_GB2312"/>
              </w:rPr>
              <w:t>公司实力 服务质量保证措施 法定代表人授权委托书 管理制度 中小企业声明函 供应商认为有必要说明的事宜（若有） 服务团队 服务内容响应偏离表 拒绝政府采购领域商业贿赂承诺书 商务条款响应偏离表 响应文件封面 承诺书（格式） 服务承诺和合理化建议 残疾人福利性单位声明函 资格审查证明文件 服务方案 标的清单 响应函 《供应商参与政府采购活动的承诺函》（格式） 服务措施 监狱企业的证明文件 培训计划</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除明确允许供应商可以自行编写的外，磋商响应文件未按照磋商文件给定的格式编制</w:t>
            </w:r>
          </w:p>
        </w:tc>
        <w:tc>
          <w:tcPr>
            <w:tcW w:type="dxa" w:w="1661"/>
          </w:tcPr>
          <w:p>
            <w:pPr>
              <w:pStyle w:val="null3"/>
            </w:pPr>
            <w:r>
              <w:rPr>
                <w:rFonts w:ascii="仿宋_GB2312" w:hAnsi="仿宋_GB2312" w:cs="仿宋_GB2312" w:eastAsia="仿宋_GB2312"/>
              </w:rPr>
              <w:t>法定代表人授权委托书 中小企业声明函 服务内容响应偏离表 拒绝政府采购领域商业贿赂承诺书 商务条款响应偏离表 响应文件封面 承诺书（格式） 残疾人福利性单位声明函 资格审查证明文件 标的清单 响应函 《供应商参与政府采购活动的承诺函》（格式）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磋商响应文件须按照磋商文件的要求盖章签字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公司实力 服务质量保证措施 法定代表人授权委托书 管理制度 中小企业声明函 供应商认为有必要说明的事宜（若有） 服务团队 服务内容响应偏离表 拒绝政府采购领域商业贿赂承诺书 商务条款响应偏离表 响应文件封面 承诺书（格式） 服务承诺和合理化建议 残疾人福利性单位声明函 资格审查证明文件 服务方案 标的清单 响应函 《供应商参与政府采购活动的承诺函》（格式） 服务措施 监狱企业的证明文件 培训计划</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磋商有效期不符合磋商文件的要求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对磋商文件商务要求须作出明确且实质性响应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对磋商文件服务内容和要求须作出明确响应，对不得偏离的要求须作实质性响应</w:t>
            </w:r>
          </w:p>
        </w:tc>
        <w:tc>
          <w:tcPr>
            <w:tcW w:type="dxa" w:w="3322"/>
          </w:tcPr>
          <w:p>
            <w:pPr>
              <w:pStyle w:val="null3"/>
            </w:pPr>
            <w:r>
              <w:rPr>
                <w:rFonts w:ascii="仿宋_GB2312" w:hAnsi="仿宋_GB2312" w:cs="仿宋_GB2312" w:eastAsia="仿宋_GB2312"/>
              </w:rPr>
              <w:t>对磋商文件服务内容和要求否作出明确响应，对不得偏离的要求是否作了实质性响应</w:t>
            </w:r>
          </w:p>
        </w:tc>
        <w:tc>
          <w:tcPr>
            <w:tcW w:type="dxa" w:w="1661"/>
          </w:tcPr>
          <w:p>
            <w:pPr>
              <w:pStyle w:val="null3"/>
            </w:pPr>
            <w:r>
              <w:rPr>
                <w:rFonts w:ascii="仿宋_GB2312" w:hAnsi="仿宋_GB2312" w:cs="仿宋_GB2312" w:eastAsia="仿宋_GB2312"/>
              </w:rPr>
              <w:t>服务内容响应偏离表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磋商响应文件是否含有采购人不能接受的附加条件</w:t>
            </w:r>
          </w:p>
        </w:tc>
        <w:tc>
          <w:tcPr>
            <w:tcW w:type="dxa" w:w="3322"/>
          </w:tcPr>
          <w:p>
            <w:pPr>
              <w:pStyle w:val="null3"/>
            </w:pPr>
            <w:r>
              <w:rPr>
                <w:rFonts w:ascii="仿宋_GB2312" w:hAnsi="仿宋_GB2312" w:cs="仿宋_GB2312" w:eastAsia="仿宋_GB2312"/>
              </w:rPr>
              <w:t>磋商响应文件不得含有采购人不能接受的附加条件</w:t>
            </w:r>
          </w:p>
        </w:tc>
        <w:tc>
          <w:tcPr>
            <w:tcW w:type="dxa" w:w="1661"/>
          </w:tcPr>
          <w:p>
            <w:pPr>
              <w:pStyle w:val="null3"/>
            </w:pPr>
            <w:r>
              <w:rPr>
                <w:rFonts w:ascii="仿宋_GB2312" w:hAnsi="仿宋_GB2312" w:cs="仿宋_GB2312" w:eastAsia="仿宋_GB2312"/>
              </w:rPr>
              <w:t>公司实力 服务质量保证措施 法定代表人授权委托书 管理制度 中小企业声明函 供应商认为有必要说明的事宜（若有） 服务团队 服务内容响应偏离表 拒绝政府采购领域商业贿赂承诺书 商务条款响应偏离表 响应文件封面 承诺书（格式） 服务承诺和合理化建议 残疾人福利性单位声明函 资格审查证明文件 服务方案 标的清单 响应函 《供应商参与政府采购活动的承诺函》（格式） 服务措施 监狱企业的证明文件 培训计划</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是否有法律、法规和磋商文件规定的其他无效响应情形</w:t>
            </w:r>
          </w:p>
        </w:tc>
        <w:tc>
          <w:tcPr>
            <w:tcW w:type="dxa" w:w="1661"/>
          </w:tcPr>
          <w:p>
            <w:pPr>
              <w:pStyle w:val="null3"/>
            </w:pPr>
            <w:r>
              <w:rPr>
                <w:rFonts w:ascii="仿宋_GB2312" w:hAnsi="仿宋_GB2312" w:cs="仿宋_GB2312" w:eastAsia="仿宋_GB2312"/>
              </w:rPr>
              <w:t>公司实力 服务质量保证措施 法定代表人授权委托书 管理制度 中小企业声明函 供应商认为有必要说明的事宜（若有） 服务团队 服务内容响应偏离表 拒绝政府采购领域商业贿赂承诺书 商务条款响应偏离表 响应文件封面 承诺书（格式） 服务承诺和合理化建议 残疾人福利性单位声明函 资格审查证明文件 服务方案 标的清单 响应函 《供应商参与政府采购活动的承诺函》（格式） 服务措施 监狱企业的证明文件 培训计划</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公司实力</w:t>
            </w:r>
          </w:p>
        </w:tc>
        <w:tc>
          <w:tcPr>
            <w:tcW w:type="dxa" w:w="2492"/>
          </w:tcPr>
          <w:p>
            <w:pPr>
              <w:pStyle w:val="null3"/>
            </w:pPr>
            <w:r>
              <w:rPr>
                <w:rFonts w:ascii="仿宋_GB2312" w:hAnsi="仿宋_GB2312" w:cs="仿宋_GB2312" w:eastAsia="仿宋_GB2312"/>
              </w:rPr>
              <w:t>为确保提供优质服务，参与本项目的律所具有一定的服务能力，根据律所的执业律师人数计分。 1.执业律师总人数在10人及以上，计6分； 2.执业律师总人数在5（含）-9人，计4分。 3.执业律师总人数在5人（不含）以下，计2分。 注：提供执业律师的身份证及执业证书，未提供证明资料或证明资料不全的本项不计分。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公司实力</w:t>
            </w:r>
          </w:p>
        </w:tc>
      </w:tr>
      <w:tr>
        <w:tc>
          <w:tcPr>
            <w:tcW w:type="dxa" w:w="831"/>
            <w:vMerge/>
          </w:tcP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拟派本项目的主办律师需具备不动产行政法律服务实务经验及培训经验，对不动产登记行政法规、制度的理解适用具有理论研究能力，行政复议、行政诉讼实务经验丰富。 1.主办律师执业满5年及以上；具备丰富的房地产、不动产行政法律事务服务经验，对不动产登记行政法规、制度的理解适用具有理论研究能力（提供研究成果证明，如公开刊物发表专业文章等）计8分； 2.主办律师执业5年以下；经验不足的计4分。 注:提供相关证明材料，未提供证明材料的不计分。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供应商拟派主办律师自2022年1月1日以来的类似项目业绩，每出具一份业绩证明文件（包括但不限于委托合同、行政复议决定书、行政诉讼判决及裁定等）计1分，满分10分。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w:t>
            </w:r>
          </w:p>
        </w:tc>
      </w:tr>
      <w:tr>
        <w:tc>
          <w:tcPr>
            <w:tcW w:type="dxa" w:w="831"/>
            <w:vMerge/>
          </w:tcPr>
          <w:p/>
        </w:tc>
        <w:tc>
          <w:tcPr>
            <w:tcW w:type="dxa" w:w="1661"/>
          </w:tcPr>
          <w:p>
            <w:pPr>
              <w:pStyle w:val="null3"/>
            </w:pPr>
            <w:r>
              <w:rPr>
                <w:rFonts w:ascii="仿宋_GB2312" w:hAnsi="仿宋_GB2312" w:cs="仿宋_GB2312" w:eastAsia="仿宋_GB2312"/>
              </w:rPr>
              <w:t>服务团队3</w:t>
            </w:r>
          </w:p>
        </w:tc>
        <w:tc>
          <w:tcPr>
            <w:tcW w:type="dxa" w:w="2492"/>
          </w:tcPr>
          <w:p>
            <w:pPr>
              <w:pStyle w:val="null3"/>
            </w:pPr>
            <w:r>
              <w:rPr>
                <w:rFonts w:ascii="仿宋_GB2312" w:hAnsi="仿宋_GB2312" w:cs="仿宋_GB2312" w:eastAsia="仿宋_GB2312"/>
              </w:rPr>
              <w:t>拟派本项目的服务团队（团队负责人1人、团队成员4人）、专业突出，服务团队具备房地产法律事务、不动产行政法律相关事务服务经验，需提供相关经验证明材料。 1.拟派团队成员具备4人以上的执业律师，团队负责人执业满15年及以上，团队负责人具备房地产或不动产法律领域实务经验的计8分。 2.拟派团队成员具备4人以上的执业律师，团队负责人执业满10-14年，团队负责人具备房地产或不动产法律领域实务经验的计6分。 3.拟派团队成员具备4人以上的执业律师，团队负责人执业满5-9年，团队负责人具备房地产或不动产法律领域实务经验的计4分。 4.拟派团队成员具备4人以上的执业律师，团队负责人执业满4年及以下的，团队成员均为执业律师计2分。 5.拟派团队成员不足4人不计分。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供应商应提供详尽的服务方案，服务内容全面，服务要求达标，明确处理采购人的法律事务的思路、程序和建议，服务方式具有针对性、科学性、创新性：具有该领域先进的法律服务理念及具体措施。 1.服务方案合理科学、描述详细，条理性清晰，具有针对性，切合本项目情况，计20分； 2.针对以上方案要求，内容完整但条理不清晰的或内容宽泛，计15分； 3.针对以上方案要求，只有框架，无实质性内容的或只有简单叙述，计10分； 4.针对以上方案要求，有1项-2项欠缺的计5分； 5.针对以上方案要求，有3项-4项欠缺的计2分； 6.未提供本项内容的不计分。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供应商具有完善的组织结构、健全的管理制度。 1.组织机构完善、管理制度健全，具有针对性，切合本项目情况，计7分； 2.内容完整但条理不清晰的或内容宽泛，计5分； 3.只有框架，无实质性内容的或只有简单叙述，计3分； 4.未提供相关内容的不计分。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管理制度</w:t>
            </w:r>
          </w:p>
        </w:tc>
      </w:tr>
      <w:tr>
        <w:tc>
          <w:tcPr>
            <w:tcW w:type="dxa" w:w="831"/>
            <w:vMerge/>
          </w:tcPr>
          <w:p/>
        </w:tc>
        <w:tc>
          <w:tcPr>
            <w:tcW w:type="dxa" w:w="1661"/>
          </w:tcPr>
          <w:p>
            <w:pPr>
              <w:pStyle w:val="null3"/>
            </w:pPr>
            <w:r>
              <w:rPr>
                <w:rFonts w:ascii="仿宋_GB2312" w:hAnsi="仿宋_GB2312" w:cs="仿宋_GB2312" w:eastAsia="仿宋_GB2312"/>
              </w:rPr>
              <w:t>服务措施</w:t>
            </w:r>
          </w:p>
        </w:tc>
        <w:tc>
          <w:tcPr>
            <w:tcW w:type="dxa" w:w="2492"/>
          </w:tcPr>
          <w:p>
            <w:pPr>
              <w:pStyle w:val="null3"/>
            </w:pPr>
            <w:r>
              <w:rPr>
                <w:rFonts w:ascii="仿宋_GB2312" w:hAnsi="仿宋_GB2312" w:cs="仿宋_GB2312" w:eastAsia="仿宋_GB2312"/>
              </w:rPr>
              <w:t>供应商针对本项目提出的各项服务措施及服务标准合理可行，对项目执行过程中的服务保证、沟通途径等有明确的说明。 1.服务措施合理科学，具有针对性，切合本项目情况，计7分； 2.内容完整但条理不清晰的或内容宽泛，计5分； 3.只有框架，无实质性内容的或只有简单叙述，计3分； 4.未提供相关内容的不计分。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服务措施</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供应商具备不动产行政法律事务的培训经验，针对采购人业务性质及工作特点，制定定期或不定期的法律培训计划，方案完善。内容包含但不限于：培训计划方案、采购人业务性质方案分析、培训经验证明。 1.内容全面详细，且条理清晰、准确、措施合理具体，内容能够紧扣项目实际情况，内容清晰、合理10分； 2.内容完整但条理不清晰的或内容宽泛的计8分； 3.只有框架，无实质性内容的或只有简单叙述的计6分； 4.内容缺1项的，计4分； 5.内容缺2项的，计2分； 6.未提供相关内容的不计分。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供应商根据本项目情况提供法律顾问服务质量的保证措施。 1.保证措施实用、适用、合理、科学，能够满足项目要求，计7分； 2.内容完整但条理不清晰的或内容宽泛，计5分； 3.只有框架，无实质性内容的或只有简单叙述，计3分； 4.未提供相关内容的不计分。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服务质量保证措施</w:t>
            </w:r>
          </w:p>
        </w:tc>
      </w:tr>
      <w:tr>
        <w:tc>
          <w:tcPr>
            <w:tcW w:type="dxa" w:w="831"/>
            <w:vMerge/>
          </w:tcPr>
          <w:p/>
        </w:tc>
        <w:tc>
          <w:tcPr>
            <w:tcW w:type="dxa" w:w="1661"/>
          </w:tcPr>
          <w:p>
            <w:pPr>
              <w:pStyle w:val="null3"/>
            </w:pPr>
            <w:r>
              <w:rPr>
                <w:rFonts w:ascii="仿宋_GB2312" w:hAnsi="仿宋_GB2312" w:cs="仿宋_GB2312" w:eastAsia="仿宋_GB2312"/>
              </w:rPr>
              <w:t>服务承诺和合理化建议</w:t>
            </w:r>
          </w:p>
        </w:tc>
        <w:tc>
          <w:tcPr>
            <w:tcW w:type="dxa" w:w="2492"/>
          </w:tcPr>
          <w:p>
            <w:pPr>
              <w:pStyle w:val="null3"/>
            </w:pPr>
            <w:r>
              <w:rPr>
                <w:rFonts w:ascii="仿宋_GB2312" w:hAnsi="仿宋_GB2312" w:cs="仿宋_GB2312" w:eastAsia="仿宋_GB2312"/>
              </w:rPr>
              <w:t>供应商根据本项目情况提供法律顾问服务承诺和相关合理化建议。 1.内容详细，条理性清晰，具有针对性，切合本项目情况，计7分； 2.内容完整但条理不清晰的或内容宽泛，计5分； 3.只有框架，无实质性内容的或只有简单叙述，计3分； 4.未提供相关内容的不计分。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服务承诺和合理化建议</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详见附件：服务内容响应偏离表</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详见附件：承诺书（格式）</w:t>
      </w:r>
    </w:p>
    <w:p>
      <w:pPr>
        <w:pStyle w:val="null3"/>
        <w:ind w:firstLine="960"/>
      </w:pPr>
      <w:r>
        <w:rPr>
          <w:rFonts w:ascii="仿宋_GB2312" w:hAnsi="仿宋_GB2312" w:cs="仿宋_GB2312" w:eastAsia="仿宋_GB2312"/>
        </w:rPr>
        <w:t>详见附件：资格审查证明文件</w:t>
      </w:r>
    </w:p>
    <w:p>
      <w:pPr>
        <w:pStyle w:val="null3"/>
        <w:ind w:firstLine="960"/>
      </w:pPr>
      <w:r>
        <w:rPr>
          <w:rFonts w:ascii="仿宋_GB2312" w:hAnsi="仿宋_GB2312" w:cs="仿宋_GB2312" w:eastAsia="仿宋_GB2312"/>
        </w:rPr>
        <w:t>详见附件：公司实力</w:t>
      </w:r>
    </w:p>
    <w:p>
      <w:pPr>
        <w:pStyle w:val="null3"/>
        <w:ind w:firstLine="960"/>
      </w:pPr>
      <w:r>
        <w:rPr>
          <w:rFonts w:ascii="仿宋_GB2312" w:hAnsi="仿宋_GB2312" w:cs="仿宋_GB2312" w:eastAsia="仿宋_GB2312"/>
        </w:rPr>
        <w:t>详见附件：服务团队</w:t>
      </w:r>
    </w:p>
    <w:p>
      <w:pPr>
        <w:pStyle w:val="null3"/>
        <w:ind w:firstLine="960"/>
      </w:pPr>
      <w:r>
        <w:rPr>
          <w:rFonts w:ascii="仿宋_GB2312" w:hAnsi="仿宋_GB2312" w:cs="仿宋_GB2312" w:eastAsia="仿宋_GB2312"/>
        </w:rPr>
        <w:t>详见附件：服务措施</w:t>
      </w:r>
    </w:p>
    <w:p>
      <w:pPr>
        <w:pStyle w:val="null3"/>
        <w:ind w:firstLine="960"/>
      </w:pPr>
      <w:r>
        <w:rPr>
          <w:rFonts w:ascii="仿宋_GB2312" w:hAnsi="仿宋_GB2312" w:cs="仿宋_GB2312" w:eastAsia="仿宋_GB2312"/>
        </w:rPr>
        <w:t>详见附件：培训计划</w:t>
      </w:r>
    </w:p>
    <w:p>
      <w:pPr>
        <w:pStyle w:val="null3"/>
        <w:ind w:firstLine="960"/>
      </w:pPr>
      <w:r>
        <w:rPr>
          <w:rFonts w:ascii="仿宋_GB2312" w:hAnsi="仿宋_GB2312" w:cs="仿宋_GB2312" w:eastAsia="仿宋_GB2312"/>
        </w:rPr>
        <w:t>详见附件：服务质量保证措施</w:t>
      </w:r>
    </w:p>
    <w:p>
      <w:pPr>
        <w:pStyle w:val="null3"/>
        <w:ind w:firstLine="960"/>
      </w:pPr>
      <w:r>
        <w:rPr>
          <w:rFonts w:ascii="仿宋_GB2312" w:hAnsi="仿宋_GB2312" w:cs="仿宋_GB2312" w:eastAsia="仿宋_GB2312"/>
        </w:rPr>
        <w:t>详见附件：服务承诺和合理化建议</w:t>
      </w:r>
    </w:p>
    <w:p>
      <w:pPr>
        <w:pStyle w:val="null3"/>
        <w:ind w:firstLine="960"/>
      </w:pPr>
      <w:r>
        <w:rPr>
          <w:rFonts w:ascii="仿宋_GB2312" w:hAnsi="仿宋_GB2312" w:cs="仿宋_GB2312" w:eastAsia="仿宋_GB2312"/>
        </w:rPr>
        <w:t>详见附件：供应商认为有必要说明的事宜（若有）</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详见附件：《供应商参与政府采购活动的承诺函》（格式）</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详见附件：管理制度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