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版本号：HSGJ2025—15020250605002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西安市社会组织综合服务平台运营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HSGJ2025—150</w:t>
      </w:r>
      <w:r>
        <w:br/>
      </w:r>
      <w:r>
        <w:br/>
      </w:r>
      <w:r>
        <w:br/>
      </w:r>
    </w:p>
    <w:p>
      <w:pPr>
        <w:pStyle w:val="null3"/>
        <w:jc w:val="center"/>
        <w:outlineLvl w:val="2"/>
      </w:pPr>
      <w:r>
        <w:rPr>
          <w:rFonts w:ascii="仿宋_GB2312" w:hAnsi="仿宋_GB2312" w:cs="仿宋_GB2312" w:eastAsia="仿宋_GB2312"/>
          <w:sz w:val="28"/>
          <w:b/>
        </w:rPr>
        <w:t>西安市民政社会事务中心</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西安市民政社会事务中心</w:t>
      </w:r>
      <w:r>
        <w:rPr>
          <w:rFonts w:ascii="仿宋_GB2312" w:hAnsi="仿宋_GB2312" w:cs="仿宋_GB2312" w:eastAsia="仿宋_GB2312"/>
        </w:rPr>
        <w:t>委托，拟对</w:t>
      </w:r>
      <w:r>
        <w:rPr>
          <w:rFonts w:ascii="仿宋_GB2312" w:hAnsi="仿宋_GB2312" w:cs="仿宋_GB2312" w:eastAsia="仿宋_GB2312"/>
        </w:rPr>
        <w:t>西安市社会组织综合服务平台运营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HSGJ2025—150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西安市社会组织综合服务平台运营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西安市社会组织综合服务平台运营，具体内容详见第三章。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2、财务状况报告：提供2024年度或2023年度的财务审计报告或开标前六个月内其基本存款账户开户银行出具的资信证明（附开户许可证或开户备案证明或基本账户信息）；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4、税收缴纳证明：提供2024年7月至今已缴纳的至少一个月的纳税证明，依法免税的单位应提供相关证明材料；</w:t>
      </w:r>
    </w:p>
    <w:p>
      <w:pPr>
        <w:pStyle w:val="null3"/>
      </w:pPr>
      <w:r>
        <w:rPr>
          <w:rFonts w:ascii="仿宋_GB2312" w:hAnsi="仿宋_GB2312" w:cs="仿宋_GB2312" w:eastAsia="仿宋_GB2312"/>
        </w:rPr>
        <w:t>5、无重大违法记录声明：近3年内在经营活动中没有重大违法记录的书面声明；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6、专业技术能力证明：具备履行合同所必需的设备和专业技术能力的证明材料(由供应商根据项目需求提供说明材料或者承诺)；</w:t>
      </w:r>
    </w:p>
    <w:p>
      <w:pPr>
        <w:pStyle w:val="null3"/>
      </w:pPr>
      <w:r>
        <w:rPr>
          <w:rFonts w:ascii="仿宋_GB2312" w:hAnsi="仿宋_GB2312" w:cs="仿宋_GB2312" w:eastAsia="仿宋_GB2312"/>
        </w:rPr>
        <w:t>7、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rFonts w:ascii="仿宋_GB2312" w:hAnsi="仿宋_GB2312" w:cs="仿宋_GB2312" w:eastAsia="仿宋_GB2312"/>
        </w:rPr>
        <w:t>8、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9、关联关系：单位负责人为同一人或者存在直接控股、管理关系的不同供应商不得参加同一合同项下的政府采购活动；为本项目提供整体设计、规范编制或者项目管理、监理、检测等服务的供应商 ，不得再参加该采购项目的其他采购活动。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西安市民政社会事务中心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西安市新城区北坊巷8号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029-87459056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屈晨、杨帆、贾娜娜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转账事由：HSGJ2025-150项目代理服务费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西安市民政社会事务中心</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西安市民政社会事务中心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西安市民政社会事务中心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联系人：屈晨、杨帆、贾娜娜</w:t>
      </w:r>
    </w:p>
    <w:p>
      <w:pPr>
        <w:pStyle w:val="null3"/>
      </w:pPr>
      <w:r>
        <w:rPr>
          <w:rFonts w:ascii="仿宋_GB2312" w:hAnsi="仿宋_GB2312" w:cs="仿宋_GB2312" w:eastAsia="仿宋_GB2312"/>
        </w:rPr>
        <w:t>联系电话：029-81779899转8009</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西安市社会组织综合服务平台运营，具体内容详见第三章。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西安市社会组织综合服务平台运营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标的名称：西安市社会组织综合服务平台运营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服务</w:t>
            </w:r>
            <w:r>
              <w:rPr>
                <w:rFonts w:ascii="仿宋_GB2312" w:hAnsi="仿宋_GB2312" w:cs="仿宋_GB2312" w:eastAsia="仿宋_GB2312"/>
                <w:sz w:val="21"/>
                <w:b/>
              </w:rPr>
              <w:t>内容</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2"/>
                <w:color w:val="000000"/>
              </w:rPr>
              <w:t>本项目</w:t>
            </w:r>
            <w:r>
              <w:rPr>
                <w:rFonts w:ascii="仿宋_GB2312" w:hAnsi="仿宋_GB2312" w:cs="仿宋_GB2312" w:eastAsia="仿宋_GB2312"/>
                <w:sz w:val="22"/>
                <w:color w:val="000000"/>
              </w:rPr>
              <w:t>采取竞争性磋商形式。</w:t>
            </w:r>
            <w:r>
              <w:rPr>
                <w:rFonts w:ascii="仿宋_GB2312" w:hAnsi="仿宋_GB2312" w:cs="仿宋_GB2312" w:eastAsia="仿宋_GB2312"/>
                <w:sz w:val="22"/>
                <w:color w:val="000000"/>
              </w:rPr>
              <w:t>凡承接全市社会组织公益性场所运营服务的主体，须严格遵循非营利原则，不得</w:t>
            </w:r>
            <w:r>
              <w:rPr>
                <w:rFonts w:ascii="仿宋_GB2312" w:hAnsi="仿宋_GB2312" w:cs="仿宋_GB2312" w:eastAsia="仿宋_GB2312"/>
                <w:sz w:val="22"/>
                <w:color w:val="000000"/>
              </w:rPr>
              <w:t>违法违规</w:t>
            </w:r>
            <w:r>
              <w:rPr>
                <w:rFonts w:ascii="仿宋_GB2312" w:hAnsi="仿宋_GB2312" w:cs="仿宋_GB2312" w:eastAsia="仿宋_GB2312"/>
                <w:sz w:val="22"/>
                <w:color w:val="000000"/>
              </w:rPr>
              <w:t>开展活动，运营收支以维持场所正常运转为限，实行保本经营。</w:t>
            </w:r>
            <w:r>
              <w:rPr>
                <w:rFonts w:ascii="仿宋_GB2312" w:hAnsi="仿宋_GB2312" w:cs="仿宋_GB2312" w:eastAsia="仿宋_GB2312"/>
                <w:sz w:val="22"/>
                <w:color w:val="000000"/>
              </w:rPr>
              <w:t>为保障项目高效推进与实施效果本项目，优先遴选由充足资源保障，且能够切实投入人力、物力与资金，积极履行社会责任的机构承接</w:t>
            </w:r>
            <w:r>
              <w:rPr>
                <w:rFonts w:ascii="仿宋_GB2312" w:hAnsi="仿宋_GB2312" w:cs="仿宋_GB2312" w:eastAsia="仿宋_GB2312"/>
                <w:sz w:val="22"/>
                <w:color w:val="000000"/>
              </w:rPr>
              <w:t>西安市社会组织综合服务平台（孵化基地）的日常运营工作以及服务供给任务。服务内容主要包含以下几个核心板块：</w:t>
            </w:r>
          </w:p>
          <w:p>
            <w:pPr>
              <w:pStyle w:val="null3"/>
              <w:ind w:firstLine="440"/>
              <w:jc w:val="both"/>
            </w:pPr>
            <w:r>
              <w:rPr>
                <w:rFonts w:ascii="仿宋_GB2312" w:hAnsi="仿宋_GB2312" w:cs="仿宋_GB2312" w:eastAsia="仿宋_GB2312"/>
                <w:sz w:val="22"/>
                <w:color w:val="000000"/>
              </w:rPr>
              <w:t>（一）基础设施与配套服务</w:t>
            </w:r>
          </w:p>
          <w:p>
            <w:pPr>
              <w:pStyle w:val="null3"/>
              <w:ind w:firstLine="440"/>
              <w:jc w:val="both"/>
            </w:pPr>
            <w:r>
              <w:rPr>
                <w:rFonts w:ascii="仿宋_GB2312" w:hAnsi="仿宋_GB2312" w:cs="仿宋_GB2312" w:eastAsia="仿宋_GB2312"/>
                <w:sz w:val="22"/>
                <w:color w:val="000000"/>
              </w:rPr>
              <w:t>打造集办公、培训、孵化、展示为一体的综合性服务基地，设置多功能会议室、共享办公区及路演区，做好</w:t>
            </w:r>
            <w:r>
              <w:rPr>
                <w:rFonts w:ascii="仿宋_GB2312" w:hAnsi="仿宋_GB2312" w:cs="仿宋_GB2312" w:eastAsia="仿宋_GB2312"/>
                <w:sz w:val="22"/>
                <w:color w:val="000000"/>
              </w:rPr>
              <w:t>公共设施管理以及后勤保障服务，确保平台能够高效、</w:t>
            </w:r>
            <w:r>
              <w:rPr>
                <w:rFonts w:ascii="仿宋_GB2312" w:hAnsi="仿宋_GB2312" w:cs="仿宋_GB2312" w:eastAsia="仿宋_GB2312"/>
                <w:sz w:val="22"/>
                <w:color w:val="000000"/>
              </w:rPr>
              <w:t>专业、</w:t>
            </w:r>
            <w:r>
              <w:rPr>
                <w:rFonts w:ascii="仿宋_GB2312" w:hAnsi="仿宋_GB2312" w:cs="仿宋_GB2312" w:eastAsia="仿宋_GB2312"/>
                <w:sz w:val="22"/>
                <w:color w:val="000000"/>
              </w:rPr>
              <w:t>有序地运转。</w:t>
            </w:r>
          </w:p>
          <w:p>
            <w:pPr>
              <w:pStyle w:val="null3"/>
              <w:ind w:firstLine="440"/>
              <w:jc w:val="both"/>
            </w:pPr>
            <w:r>
              <w:rPr>
                <w:rFonts w:ascii="仿宋_GB2312" w:hAnsi="仿宋_GB2312" w:cs="仿宋_GB2312" w:eastAsia="仿宋_GB2312"/>
                <w:sz w:val="22"/>
                <w:color w:val="000000"/>
              </w:rPr>
              <w:t>（二）专业化能力建设</w:t>
            </w:r>
          </w:p>
          <w:p>
            <w:pPr>
              <w:pStyle w:val="null3"/>
              <w:ind w:firstLine="440"/>
              <w:jc w:val="both"/>
            </w:pPr>
            <w:r>
              <w:rPr>
                <w:rFonts w:ascii="仿宋_GB2312" w:hAnsi="仿宋_GB2312" w:cs="仿宋_GB2312" w:eastAsia="仿宋_GB2312"/>
                <w:sz w:val="22"/>
                <w:color w:val="000000"/>
              </w:rPr>
              <w:t>保证西安市社会组织综合服务平台有不少于</w:t>
            </w:r>
            <w:r>
              <w:rPr>
                <w:rFonts w:ascii="仿宋_GB2312" w:hAnsi="仿宋_GB2312" w:cs="仿宋_GB2312" w:eastAsia="仿宋_GB2312"/>
                <w:sz w:val="22"/>
                <w:color w:val="000000"/>
              </w:rPr>
              <w:t>3个专职工作人员，</w:t>
            </w:r>
            <w:r>
              <w:rPr>
                <w:rFonts w:ascii="仿宋_GB2312" w:hAnsi="仿宋_GB2312" w:cs="仿宋_GB2312" w:eastAsia="仿宋_GB2312"/>
                <w:sz w:val="22"/>
                <w:color w:val="000000"/>
              </w:rPr>
              <w:t>面向入驻</w:t>
            </w:r>
            <w:r>
              <w:rPr>
                <w:rFonts w:ascii="仿宋_GB2312" w:hAnsi="仿宋_GB2312" w:cs="仿宋_GB2312" w:eastAsia="仿宋_GB2312"/>
                <w:sz w:val="22"/>
                <w:color w:val="000000"/>
              </w:rPr>
              <w:t>机构</w:t>
            </w:r>
            <w:r>
              <w:rPr>
                <w:rFonts w:ascii="仿宋_GB2312" w:hAnsi="仿宋_GB2312" w:cs="仿宋_GB2312" w:eastAsia="仿宋_GB2312"/>
                <w:sz w:val="22"/>
                <w:color w:val="000000"/>
              </w:rPr>
              <w:t>以及全市社会组织，提供</w:t>
            </w:r>
            <w:r>
              <w:rPr>
                <w:rFonts w:ascii="仿宋_GB2312" w:hAnsi="仿宋_GB2312" w:cs="仿宋_GB2312" w:eastAsia="仿宋_GB2312"/>
                <w:sz w:val="22"/>
                <w:color w:val="000000"/>
              </w:rPr>
              <w:t>政策咨询、登记指导、年检年报、</w:t>
            </w:r>
            <w:r>
              <w:rPr>
                <w:rFonts w:ascii="仿宋_GB2312" w:hAnsi="仿宋_GB2312" w:cs="仿宋_GB2312" w:eastAsia="仿宋_GB2312"/>
                <w:sz w:val="22"/>
                <w:color w:val="000000"/>
              </w:rPr>
              <w:t>法务</w:t>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w:t>
            </w:r>
            <w:r>
              <w:rPr>
                <w:rFonts w:ascii="仿宋_GB2312" w:hAnsi="仿宋_GB2312" w:cs="仿宋_GB2312" w:eastAsia="仿宋_GB2312"/>
                <w:sz w:val="22"/>
                <w:color w:val="000000"/>
              </w:rPr>
              <w:t>入驻服务</w:t>
            </w:r>
            <w:r>
              <w:rPr>
                <w:rFonts w:ascii="仿宋_GB2312" w:hAnsi="仿宋_GB2312" w:cs="仿宋_GB2312" w:eastAsia="仿宋_GB2312"/>
                <w:sz w:val="22"/>
                <w:color w:val="000000"/>
              </w:rPr>
              <w:t>等专项服务，</w:t>
            </w:r>
            <w:r>
              <w:rPr>
                <w:rFonts w:ascii="仿宋_GB2312" w:hAnsi="仿宋_GB2312" w:cs="仿宋_GB2312" w:eastAsia="仿宋_GB2312"/>
                <w:sz w:val="22"/>
                <w:color w:val="000000"/>
              </w:rPr>
              <w:t>打造西安市社会组织服务品牌，协助做好平台发展规划，加强平台规范化、标准化建设，</w:t>
            </w:r>
            <w:r>
              <w:rPr>
                <w:rFonts w:ascii="仿宋_GB2312" w:hAnsi="仿宋_GB2312" w:cs="仿宋_GB2312" w:eastAsia="仿宋_GB2312"/>
                <w:sz w:val="22"/>
                <w:color w:val="000000"/>
              </w:rPr>
              <w:t>助力</w:t>
            </w:r>
            <w:r>
              <w:rPr>
                <w:rFonts w:ascii="仿宋_GB2312" w:hAnsi="仿宋_GB2312" w:cs="仿宋_GB2312" w:eastAsia="仿宋_GB2312"/>
                <w:sz w:val="22"/>
                <w:color w:val="000000"/>
              </w:rPr>
              <w:t>全市社会</w:t>
            </w:r>
            <w:r>
              <w:rPr>
                <w:rFonts w:ascii="仿宋_GB2312" w:hAnsi="仿宋_GB2312" w:cs="仿宋_GB2312" w:eastAsia="仿宋_GB2312"/>
                <w:sz w:val="22"/>
                <w:color w:val="000000"/>
              </w:rPr>
              <w:t>组织实现</w:t>
            </w:r>
            <w:r>
              <w:rPr>
                <w:rFonts w:ascii="仿宋_GB2312" w:hAnsi="仿宋_GB2312" w:cs="仿宋_GB2312" w:eastAsia="仿宋_GB2312"/>
                <w:sz w:val="22"/>
                <w:color w:val="000000"/>
              </w:rPr>
              <w:t>高质量</w:t>
            </w:r>
            <w:r>
              <w:rPr>
                <w:rFonts w:ascii="仿宋_GB2312" w:hAnsi="仿宋_GB2312" w:cs="仿宋_GB2312" w:eastAsia="仿宋_GB2312"/>
                <w:sz w:val="22"/>
                <w:color w:val="000000"/>
              </w:rPr>
              <w:t>发展。</w:t>
            </w:r>
          </w:p>
          <w:p>
            <w:pPr>
              <w:pStyle w:val="null3"/>
              <w:ind w:firstLine="440"/>
              <w:jc w:val="both"/>
            </w:pPr>
            <w:r>
              <w:rPr>
                <w:rFonts w:ascii="仿宋_GB2312" w:hAnsi="仿宋_GB2312" w:cs="仿宋_GB2312" w:eastAsia="仿宋_GB2312"/>
                <w:sz w:val="22"/>
                <w:color w:val="000000"/>
              </w:rPr>
              <w:t>（三）资源整合与品牌赋能</w:t>
            </w:r>
          </w:p>
          <w:p>
            <w:pPr>
              <w:pStyle w:val="null3"/>
              <w:ind w:firstLine="440"/>
              <w:jc w:val="both"/>
            </w:pPr>
            <w:r>
              <w:rPr>
                <w:rFonts w:ascii="仿宋_GB2312" w:hAnsi="仿宋_GB2312" w:cs="仿宋_GB2312" w:eastAsia="仿宋_GB2312"/>
                <w:sz w:val="22"/>
              </w:rPr>
              <w:t>通过提供场</w:t>
            </w:r>
            <w:r>
              <w:rPr>
                <w:rFonts w:ascii="仿宋_GB2312" w:hAnsi="仿宋_GB2312" w:cs="仿宋_GB2312" w:eastAsia="仿宋_GB2312"/>
                <w:sz w:val="22"/>
                <w:color w:val="000000"/>
              </w:rPr>
              <w:t>地支持、搭建</w:t>
            </w:r>
            <w:r>
              <w:rPr>
                <w:rFonts w:ascii="仿宋_GB2312" w:hAnsi="仿宋_GB2312" w:cs="仿宋_GB2312" w:eastAsia="仿宋_GB2312"/>
                <w:sz w:val="22"/>
                <w:color w:val="000000"/>
              </w:rPr>
              <w:t>“政社校企”平台，链</w:t>
            </w:r>
            <w:r>
              <w:rPr>
                <w:rFonts w:ascii="仿宋_GB2312" w:hAnsi="仿宋_GB2312" w:cs="仿宋_GB2312" w:eastAsia="仿宋_GB2312"/>
                <w:sz w:val="22"/>
              </w:rPr>
              <w:t>接社会组织资源，建立社会组织类专家智库，引导社会组织嵌入基层党建、养老助残、儿童关爱等民生服务领域，</w:t>
            </w:r>
            <w:r>
              <w:rPr>
                <w:rFonts w:ascii="仿宋_GB2312" w:hAnsi="仿宋_GB2312" w:cs="仿宋_GB2312" w:eastAsia="仿宋_GB2312"/>
                <w:sz w:val="22"/>
                <w:color w:val="000000"/>
              </w:rPr>
              <w:t>打造</w:t>
            </w:r>
            <w:r>
              <w:rPr>
                <w:rFonts w:ascii="仿宋_GB2312" w:hAnsi="仿宋_GB2312" w:cs="仿宋_GB2312" w:eastAsia="仿宋_GB2312"/>
                <w:sz w:val="22"/>
                <w:color w:val="000000"/>
              </w:rPr>
              <w:t>“社启长安”系列品牌活动，</w:t>
            </w:r>
            <w:r>
              <w:rPr>
                <w:rFonts w:ascii="仿宋_GB2312" w:hAnsi="仿宋_GB2312" w:cs="仿宋_GB2312" w:eastAsia="仿宋_GB2312"/>
                <w:sz w:val="22"/>
              </w:rPr>
              <w:t>实现群众需求与社会服务精准匹配，</w:t>
            </w:r>
            <w:r>
              <w:rPr>
                <w:rFonts w:ascii="仿宋_GB2312" w:hAnsi="仿宋_GB2312" w:cs="仿宋_GB2312" w:eastAsia="仿宋_GB2312"/>
                <w:sz w:val="22"/>
                <w:color w:val="000000"/>
              </w:rPr>
              <w:t>提升社会组织的内部治理水平，扩大其在</w:t>
            </w:r>
            <w:r>
              <w:rPr>
                <w:rFonts w:ascii="仿宋_GB2312" w:hAnsi="仿宋_GB2312" w:cs="仿宋_GB2312" w:eastAsia="仿宋_GB2312"/>
                <w:sz w:val="22"/>
                <w:color w:val="000000"/>
              </w:rPr>
              <w:t>我市</w:t>
            </w:r>
            <w:r>
              <w:rPr>
                <w:rFonts w:ascii="仿宋_GB2312" w:hAnsi="仿宋_GB2312" w:cs="仿宋_GB2312" w:eastAsia="仿宋_GB2312"/>
                <w:sz w:val="22"/>
                <w:color w:val="000000"/>
              </w:rPr>
              <w:t>社会治理中的影响力，推动西安市社会组织实现高质量发展。</w:t>
            </w:r>
          </w:p>
          <w:p>
            <w:pPr>
              <w:pStyle w:val="null3"/>
              <w:ind w:firstLine="480"/>
              <w:jc w:val="both"/>
            </w:pPr>
            <w:r>
              <w:rPr>
                <w:rFonts w:ascii="仿宋_GB2312" w:hAnsi="仿宋_GB2312" w:cs="仿宋_GB2312" w:eastAsia="仿宋_GB2312"/>
                <w:sz w:val="21"/>
                <w:b/>
              </w:rPr>
              <w:t>二、服务要求：</w:t>
            </w:r>
          </w:p>
          <w:p>
            <w:pPr>
              <w:pStyle w:val="null3"/>
              <w:ind w:firstLine="420"/>
              <w:jc w:val="left"/>
            </w:pPr>
            <w:r>
              <w:rPr>
                <w:rFonts w:ascii="仿宋_GB2312" w:hAnsi="仿宋_GB2312" w:cs="仿宋_GB2312" w:eastAsia="仿宋_GB2312"/>
                <w:sz w:val="22"/>
                <w:color w:val="000000"/>
              </w:rPr>
              <w:t>（一）平台基础服务</w:t>
            </w:r>
          </w:p>
          <w:p>
            <w:pPr>
              <w:pStyle w:val="null3"/>
              <w:ind w:firstLine="440"/>
              <w:jc w:val="both"/>
            </w:pPr>
            <w:r>
              <w:rPr>
                <w:rFonts w:ascii="仿宋_GB2312" w:hAnsi="仿宋_GB2312" w:cs="仿宋_GB2312" w:eastAsia="仿宋_GB2312"/>
                <w:sz w:val="22"/>
                <w:color w:val="000000"/>
              </w:rPr>
              <w:t>1.全流程运营管理</w:t>
            </w:r>
          </w:p>
          <w:p>
            <w:pPr>
              <w:pStyle w:val="null3"/>
              <w:ind w:firstLine="440"/>
              <w:jc w:val="both"/>
            </w:pPr>
            <w:r>
              <w:rPr>
                <w:rFonts w:ascii="仿宋_GB2312" w:hAnsi="仿宋_GB2312" w:cs="仿宋_GB2312" w:eastAsia="仿宋_GB2312"/>
                <w:sz w:val="22"/>
                <w:color w:val="000000"/>
              </w:rPr>
              <w:t>安排不少于</w:t>
            </w:r>
            <w:r>
              <w:rPr>
                <w:rFonts w:ascii="仿宋_GB2312" w:hAnsi="仿宋_GB2312" w:cs="仿宋_GB2312" w:eastAsia="仿宋_GB2312"/>
                <w:sz w:val="22"/>
                <w:color w:val="000000"/>
              </w:rPr>
              <w:t>3个专职工作人员负责大厅及孵化基地日常管理服务，</w:t>
            </w:r>
            <w:r>
              <w:rPr>
                <w:rFonts w:ascii="仿宋_GB2312" w:hAnsi="仿宋_GB2312" w:cs="仿宋_GB2312" w:eastAsia="仿宋_GB2312"/>
                <w:sz w:val="22"/>
                <w:color w:val="000000"/>
              </w:rPr>
              <w:t>建立</w:t>
            </w:r>
            <w:r>
              <w:rPr>
                <w:rFonts w:ascii="仿宋_GB2312" w:hAnsi="仿宋_GB2312" w:cs="仿宋_GB2312" w:eastAsia="仿宋_GB2312"/>
                <w:sz w:val="22"/>
                <w:color w:val="000000"/>
              </w:rPr>
              <w:t>健全</w:t>
            </w:r>
            <w:r>
              <w:rPr>
                <w:rFonts w:ascii="仿宋_GB2312" w:hAnsi="仿宋_GB2312" w:cs="仿宋_GB2312" w:eastAsia="仿宋_GB2312"/>
                <w:sz w:val="22"/>
                <w:color w:val="000000"/>
              </w:rPr>
              <w:t>平台运营管理制度，制定标准化的</w:t>
            </w:r>
            <w:r>
              <w:rPr>
                <w:rFonts w:ascii="仿宋_GB2312" w:hAnsi="仿宋_GB2312" w:cs="仿宋_GB2312" w:eastAsia="仿宋_GB2312"/>
                <w:sz w:val="22"/>
                <w:color w:val="000000"/>
              </w:rPr>
              <w:t>办公</w:t>
            </w:r>
            <w:r>
              <w:rPr>
                <w:rFonts w:ascii="仿宋_GB2312" w:hAnsi="仿宋_GB2312" w:cs="仿宋_GB2312" w:eastAsia="仿宋_GB2312"/>
                <w:sz w:val="22"/>
                <w:color w:val="000000"/>
              </w:rPr>
              <w:t>服务流程，</w:t>
            </w:r>
            <w:r>
              <w:rPr>
                <w:rFonts w:ascii="仿宋_GB2312" w:hAnsi="仿宋_GB2312" w:cs="仿宋_GB2312" w:eastAsia="仿宋_GB2312"/>
                <w:sz w:val="22"/>
                <w:color w:val="000000"/>
              </w:rPr>
              <w:t>把</w:t>
            </w:r>
            <w:r>
              <w:rPr>
                <w:rFonts w:ascii="仿宋_GB2312" w:hAnsi="仿宋_GB2312" w:cs="仿宋_GB2312" w:eastAsia="仿宋_GB2312"/>
                <w:sz w:val="22"/>
                <w:color w:val="000000"/>
              </w:rPr>
              <w:t>“</w:t>
            </w:r>
            <w:r>
              <w:rPr>
                <w:rFonts w:ascii="仿宋_GB2312" w:hAnsi="仿宋_GB2312" w:cs="仿宋_GB2312" w:eastAsia="仿宋_GB2312"/>
                <w:sz w:val="22"/>
                <w:shd w:fill="FFFFFF" w:val="clear"/>
              </w:rPr>
              <w:t>一站式</w:t>
            </w:r>
            <w:r>
              <w:rPr>
                <w:rFonts w:ascii="仿宋_GB2312" w:hAnsi="仿宋_GB2312" w:cs="仿宋_GB2312" w:eastAsia="仿宋_GB2312"/>
                <w:sz w:val="22"/>
                <w:color w:val="000000"/>
              </w:rPr>
              <w:t>”</w:t>
            </w:r>
            <w:r>
              <w:rPr>
                <w:rFonts w:ascii="仿宋_GB2312" w:hAnsi="仿宋_GB2312" w:cs="仿宋_GB2312" w:eastAsia="仿宋_GB2312"/>
                <w:sz w:val="22"/>
                <w:shd w:fill="FFFFFF" w:val="clear"/>
              </w:rPr>
              <w:t>办公大厅变为</w:t>
            </w:r>
            <w:r>
              <w:rPr>
                <w:rFonts w:ascii="仿宋_GB2312" w:hAnsi="仿宋_GB2312" w:cs="仿宋_GB2312" w:eastAsia="仿宋_GB2312"/>
                <w:sz w:val="22"/>
                <w:shd w:fill="FFFFFF" w:val="clear"/>
              </w:rPr>
              <w:t>“</w:t>
            </w:r>
            <w:r>
              <w:rPr>
                <w:rFonts w:ascii="仿宋_GB2312" w:hAnsi="仿宋_GB2312" w:cs="仿宋_GB2312" w:eastAsia="仿宋_GB2312"/>
                <w:sz w:val="22"/>
                <w:shd w:fill="FFFFFF" w:val="clear"/>
              </w:rPr>
              <w:t>客厅式</w:t>
            </w:r>
            <w:r>
              <w:rPr>
                <w:rFonts w:ascii="仿宋_GB2312" w:hAnsi="仿宋_GB2312" w:cs="仿宋_GB2312" w:eastAsia="仿宋_GB2312"/>
                <w:sz w:val="22"/>
                <w:shd w:fill="FFFFFF" w:val="clear"/>
              </w:rPr>
              <w:t>”服务大厅，设立共享办公区、茶水间、休息区，为办事群众提供热情周到的服务，</w:t>
            </w:r>
            <w:r>
              <w:rPr>
                <w:rFonts w:ascii="仿宋_GB2312" w:hAnsi="仿宋_GB2312" w:cs="仿宋_GB2312" w:eastAsia="仿宋_GB2312"/>
                <w:sz w:val="22"/>
                <w:color w:val="000000"/>
              </w:rPr>
              <w:t>保证平台空间安全、环境整洁</w:t>
            </w:r>
            <w:r>
              <w:rPr>
                <w:rFonts w:ascii="仿宋_GB2312" w:hAnsi="仿宋_GB2312" w:cs="仿宋_GB2312" w:eastAsia="仿宋_GB2312"/>
                <w:sz w:val="22"/>
                <w:color w:val="000000"/>
              </w:rPr>
              <w:t>舒适。</w:t>
            </w:r>
          </w:p>
          <w:p>
            <w:pPr>
              <w:pStyle w:val="null3"/>
              <w:ind w:firstLine="440"/>
              <w:jc w:val="both"/>
            </w:pPr>
            <w:r>
              <w:rPr>
                <w:rFonts w:ascii="仿宋_GB2312" w:hAnsi="仿宋_GB2312" w:cs="仿宋_GB2312" w:eastAsia="仿宋_GB2312"/>
                <w:sz w:val="22"/>
                <w:color w:val="000000"/>
              </w:rPr>
              <w:t>负责平台基础设施、办公设备以及智能化系统的日常维保工作，</w:t>
            </w:r>
            <w:r>
              <w:rPr>
                <w:rFonts w:ascii="仿宋_GB2312" w:hAnsi="仿宋_GB2312" w:cs="仿宋_GB2312" w:eastAsia="仿宋_GB2312"/>
                <w:sz w:val="22"/>
                <w:color w:val="000000"/>
              </w:rPr>
              <w:t>按照年度工作实际，设计制作主题展示墙，</w:t>
            </w:r>
            <w:r>
              <w:rPr>
                <w:rFonts w:ascii="仿宋_GB2312" w:hAnsi="仿宋_GB2312" w:cs="仿宋_GB2312" w:eastAsia="仿宋_GB2312"/>
                <w:sz w:val="22"/>
                <w:color w:val="000000"/>
              </w:rPr>
              <w:t>建立</w:t>
            </w:r>
            <w:r>
              <w:rPr>
                <w:rFonts w:ascii="仿宋_GB2312" w:hAnsi="仿宋_GB2312" w:cs="仿宋_GB2312" w:eastAsia="仿宋_GB2312"/>
                <w:sz w:val="22"/>
                <w:color w:val="000000"/>
              </w:rPr>
              <w:t>7*</w:t>
            </w:r>
            <w:r>
              <w:rPr>
                <w:rFonts w:ascii="仿宋_GB2312" w:hAnsi="仿宋_GB2312" w:cs="仿宋_GB2312" w:eastAsia="仿宋_GB2312"/>
                <w:sz w:val="22"/>
                <w:color w:val="000000"/>
              </w:rPr>
              <w:t>24 小时维修响应机制。</w:t>
            </w:r>
          </w:p>
          <w:p>
            <w:pPr>
              <w:pStyle w:val="null3"/>
              <w:ind w:firstLine="440"/>
              <w:jc w:val="both"/>
            </w:pPr>
            <w:r>
              <w:rPr>
                <w:rFonts w:ascii="仿宋_GB2312" w:hAnsi="仿宋_GB2312" w:cs="仿宋_GB2312" w:eastAsia="仿宋_GB2312"/>
                <w:sz w:val="22"/>
                <w:color w:val="000000"/>
              </w:rPr>
              <w:t>制定</w:t>
            </w:r>
            <w:r>
              <w:rPr>
                <w:rFonts w:ascii="仿宋_GB2312" w:hAnsi="仿宋_GB2312" w:cs="仿宋_GB2312" w:eastAsia="仿宋_GB2312"/>
                <w:sz w:val="22"/>
                <w:color w:val="000000"/>
              </w:rPr>
              <w:t>安全</w:t>
            </w:r>
            <w:r>
              <w:rPr>
                <w:rFonts w:ascii="仿宋_GB2312" w:hAnsi="仿宋_GB2312" w:cs="仿宋_GB2312" w:eastAsia="仿宋_GB2312"/>
                <w:sz w:val="22"/>
                <w:color w:val="000000"/>
              </w:rPr>
              <w:t>应急预案，定期开展设备安全检查与隐患排查工作，确保设施完好率不低于</w:t>
            </w:r>
            <w:r>
              <w:rPr>
                <w:rFonts w:ascii="仿宋_GB2312" w:hAnsi="仿宋_GB2312" w:cs="仿宋_GB2312" w:eastAsia="仿宋_GB2312"/>
                <w:sz w:val="22"/>
                <w:color w:val="000000"/>
              </w:rPr>
              <w:t>98%。</w:t>
            </w:r>
          </w:p>
          <w:p>
            <w:pPr>
              <w:pStyle w:val="null3"/>
              <w:ind w:firstLine="440"/>
              <w:jc w:val="both"/>
            </w:pPr>
            <w:r>
              <w:rPr>
                <w:rFonts w:ascii="仿宋_GB2312" w:hAnsi="仿宋_GB2312" w:cs="仿宋_GB2312" w:eastAsia="仿宋_GB2312"/>
                <w:sz w:val="22"/>
                <w:color w:val="000000"/>
              </w:rPr>
              <w:t>2.数据化决策支持</w:t>
            </w:r>
          </w:p>
          <w:p>
            <w:pPr>
              <w:pStyle w:val="null3"/>
              <w:ind w:firstLine="440"/>
              <w:jc w:val="both"/>
            </w:pPr>
            <w:r>
              <w:rPr>
                <w:rFonts w:ascii="仿宋_GB2312" w:hAnsi="仿宋_GB2312" w:cs="仿宋_GB2312" w:eastAsia="仿宋_GB2312"/>
                <w:sz w:val="22"/>
                <w:color w:val="000000"/>
              </w:rPr>
              <w:t>搭建</w:t>
            </w:r>
            <w:r>
              <w:rPr>
                <w:rFonts w:ascii="仿宋_GB2312" w:hAnsi="仿宋_GB2312" w:cs="仿宋_GB2312" w:eastAsia="仿宋_GB2312"/>
                <w:sz w:val="22"/>
                <w:color w:val="000000"/>
              </w:rPr>
              <w:t>社会组织</w:t>
            </w:r>
            <w:r>
              <w:rPr>
                <w:rFonts w:ascii="仿宋_GB2312" w:hAnsi="仿宋_GB2312" w:cs="仿宋_GB2312" w:eastAsia="仿宋_GB2312"/>
                <w:sz w:val="22"/>
                <w:color w:val="000000"/>
              </w:rPr>
              <w:t>信息化管理系统，开展</w:t>
            </w:r>
            <w:r>
              <w:rPr>
                <w:rFonts w:ascii="仿宋_GB2312" w:hAnsi="仿宋_GB2312" w:cs="仿宋_GB2312" w:eastAsia="仿宋_GB2312"/>
                <w:sz w:val="22"/>
                <w:color w:val="000000"/>
              </w:rPr>
              <w:t>各类</w:t>
            </w:r>
            <w:r>
              <w:rPr>
                <w:rFonts w:ascii="仿宋_GB2312" w:hAnsi="仿宋_GB2312" w:cs="仿宋_GB2312" w:eastAsia="仿宋_GB2312"/>
                <w:sz w:val="22"/>
                <w:color w:val="000000"/>
              </w:rPr>
              <w:t>社会组织信息的动态采集</w:t>
            </w:r>
            <w:r>
              <w:rPr>
                <w:rFonts w:ascii="仿宋_GB2312" w:hAnsi="仿宋_GB2312" w:cs="仿宋_GB2312" w:eastAsia="仿宋_GB2312"/>
                <w:sz w:val="22"/>
                <w:color w:val="000000"/>
              </w:rPr>
              <w:t>和数据收集</w:t>
            </w:r>
            <w:r>
              <w:rPr>
                <w:rFonts w:ascii="仿宋_GB2312" w:hAnsi="仿宋_GB2312" w:cs="仿宋_GB2312" w:eastAsia="仿宋_GB2312"/>
                <w:sz w:val="22"/>
                <w:color w:val="000000"/>
              </w:rPr>
              <w:t>工作，</w:t>
            </w:r>
            <w:r>
              <w:rPr>
                <w:rFonts w:ascii="仿宋_GB2312" w:hAnsi="仿宋_GB2312" w:cs="仿宋_GB2312" w:eastAsia="仿宋_GB2312"/>
                <w:sz w:val="22"/>
                <w:color w:val="000000"/>
              </w:rPr>
              <w:t>根据年度工作安排、实际工作需求，形成数据台账，</w:t>
            </w:r>
            <w:r>
              <w:rPr>
                <w:rFonts w:ascii="仿宋_GB2312" w:hAnsi="仿宋_GB2312" w:cs="仿宋_GB2312" w:eastAsia="仿宋_GB2312"/>
                <w:sz w:val="22"/>
                <w:color w:val="000000"/>
              </w:rPr>
              <w:t>为民政部门提供数据</w:t>
            </w:r>
            <w:r>
              <w:rPr>
                <w:rFonts w:ascii="仿宋_GB2312" w:hAnsi="仿宋_GB2312" w:cs="仿宋_GB2312" w:eastAsia="仿宋_GB2312"/>
                <w:sz w:val="22"/>
                <w:color w:val="000000"/>
              </w:rPr>
              <w:t>支撑并做好数据保密工作，</w:t>
            </w:r>
            <w:r>
              <w:rPr>
                <w:rFonts w:ascii="仿宋_GB2312" w:hAnsi="仿宋_GB2312" w:cs="仿宋_GB2312" w:eastAsia="仿宋_GB2312"/>
                <w:sz w:val="22"/>
                <w:color w:val="000000"/>
              </w:rPr>
              <w:t>提高管理效率。</w:t>
            </w:r>
          </w:p>
          <w:p>
            <w:pPr>
              <w:pStyle w:val="null3"/>
              <w:ind w:firstLine="440"/>
              <w:jc w:val="both"/>
            </w:pPr>
            <w:r>
              <w:rPr>
                <w:rFonts w:ascii="仿宋_GB2312" w:hAnsi="仿宋_GB2312" w:cs="仿宋_GB2312" w:eastAsia="仿宋_GB2312"/>
                <w:sz w:val="22"/>
                <w:color w:val="000000"/>
              </w:rPr>
              <w:t>3.品牌化宣传运营</w:t>
            </w:r>
          </w:p>
          <w:p>
            <w:pPr>
              <w:pStyle w:val="null3"/>
              <w:ind w:firstLine="440"/>
              <w:jc w:val="both"/>
            </w:pPr>
            <w:r>
              <w:rPr>
                <w:rFonts w:ascii="仿宋_GB2312" w:hAnsi="仿宋_GB2312" w:cs="仿宋_GB2312" w:eastAsia="仿宋_GB2312"/>
                <w:sz w:val="22"/>
                <w:color w:val="000000"/>
              </w:rPr>
              <w:t>安排专人负责</w:t>
            </w:r>
            <w:r>
              <w:rPr>
                <w:rFonts w:ascii="仿宋_GB2312" w:hAnsi="仿宋_GB2312" w:cs="仿宋_GB2312" w:eastAsia="仿宋_GB2312"/>
                <w:sz w:val="22"/>
                <w:color w:val="000000"/>
              </w:rPr>
              <w:t>“西安社会组织动态”官方公众号</w:t>
            </w:r>
            <w:r>
              <w:rPr>
                <w:rFonts w:ascii="仿宋_GB2312" w:hAnsi="仿宋_GB2312" w:cs="仿宋_GB2312" w:eastAsia="仿宋_GB2312"/>
                <w:sz w:val="22"/>
                <w:color w:val="000000"/>
              </w:rPr>
              <w:t>日常</w:t>
            </w:r>
            <w:r>
              <w:rPr>
                <w:rFonts w:ascii="仿宋_GB2312" w:hAnsi="仿宋_GB2312" w:cs="仿宋_GB2312" w:eastAsia="仿宋_GB2312"/>
                <w:sz w:val="22"/>
                <w:color w:val="000000"/>
              </w:rPr>
              <w:t>运营，打造西安社会组织的</w:t>
            </w:r>
            <w:r>
              <w:rPr>
                <w:rFonts w:ascii="仿宋_GB2312" w:hAnsi="仿宋_GB2312" w:cs="仿宋_GB2312" w:eastAsia="仿宋_GB2312"/>
                <w:sz w:val="22"/>
                <w:color w:val="000000"/>
              </w:rPr>
              <w:t>“信息枢纽、资源桥梁、形象窗口”，聚焦政策解读、</w:t>
            </w:r>
            <w:r>
              <w:rPr>
                <w:rFonts w:ascii="仿宋_GB2312" w:hAnsi="仿宋_GB2312" w:cs="仿宋_GB2312" w:eastAsia="仿宋_GB2312"/>
                <w:sz w:val="22"/>
                <w:color w:val="000000"/>
              </w:rPr>
              <w:t>组织</w:t>
            </w:r>
            <w:r>
              <w:rPr>
                <w:rFonts w:ascii="仿宋_GB2312" w:hAnsi="仿宋_GB2312" w:cs="仿宋_GB2312" w:eastAsia="仿宋_GB2312"/>
                <w:sz w:val="22"/>
                <w:color w:val="000000"/>
              </w:rPr>
              <w:t>动态、组织风采、公益创新，成为政府、社会组织、公众互动的重要平台。开设专栏，专访优秀社会组织负责人，讲述团队故事、</w:t>
            </w:r>
            <w:r>
              <w:rPr>
                <w:rFonts w:ascii="仿宋_GB2312" w:hAnsi="仿宋_GB2312" w:cs="仿宋_GB2312" w:eastAsia="仿宋_GB2312"/>
                <w:sz w:val="22"/>
                <w:color w:val="000000"/>
              </w:rPr>
              <w:t>社会组织</w:t>
            </w:r>
            <w:r>
              <w:rPr>
                <w:rFonts w:ascii="仿宋_GB2312" w:hAnsi="仿宋_GB2312" w:cs="仿宋_GB2312" w:eastAsia="仿宋_GB2312"/>
                <w:sz w:val="22"/>
                <w:color w:val="000000"/>
              </w:rPr>
              <w:t>亮点</w:t>
            </w:r>
            <w:r>
              <w:rPr>
                <w:rFonts w:ascii="仿宋_GB2312" w:hAnsi="仿宋_GB2312" w:cs="仿宋_GB2312" w:eastAsia="仿宋_GB2312"/>
                <w:sz w:val="22"/>
                <w:color w:val="000000"/>
              </w:rPr>
              <w:t>，宣传</w:t>
            </w:r>
            <w:r>
              <w:rPr>
                <w:rFonts w:ascii="仿宋_GB2312" w:hAnsi="仿宋_GB2312" w:cs="仿宋_GB2312" w:eastAsia="仿宋_GB2312"/>
                <w:sz w:val="22"/>
                <w:color w:val="000000"/>
              </w:rPr>
              <w:t>展示社会组织活动照片、短视频</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（二）</w:t>
            </w:r>
            <w:r>
              <w:rPr>
                <w:rFonts w:ascii="仿宋_GB2312" w:hAnsi="仿宋_GB2312" w:cs="仿宋_GB2312" w:eastAsia="仿宋_GB2312"/>
                <w:sz w:val="22"/>
                <w:color w:val="000000"/>
              </w:rPr>
              <w:t>专项培训服务</w:t>
            </w:r>
          </w:p>
          <w:p>
            <w:pPr>
              <w:pStyle w:val="null3"/>
              <w:ind w:firstLine="440"/>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标准化规范化建设培训。按照西安市民政局规范化标准化培训工作安排，聚焦党建工作、内部治理、文化建设、防风险促发展及年检年报培训等重要内容，每年以线上线下、形式多样的培训手段，开展不少于</w:t>
            </w:r>
            <w:r>
              <w:rPr>
                <w:rFonts w:ascii="仿宋_GB2312" w:hAnsi="仿宋_GB2312" w:cs="仿宋_GB2312" w:eastAsia="仿宋_GB2312"/>
                <w:sz w:val="22"/>
                <w:color w:val="000000"/>
              </w:rPr>
              <w:t>2000人次的培训教育工作。（注：</w:t>
            </w:r>
            <w:r>
              <w:rPr>
                <w:rFonts w:ascii="仿宋_GB2312" w:hAnsi="仿宋_GB2312" w:cs="仿宋_GB2312" w:eastAsia="仿宋_GB2312"/>
                <w:sz w:val="22"/>
                <w:color w:val="000000"/>
              </w:rPr>
              <w:t>费用标准</w:t>
            </w:r>
            <w:r>
              <w:rPr>
                <w:rFonts w:ascii="仿宋_GB2312" w:hAnsi="仿宋_GB2312" w:cs="仿宋_GB2312" w:eastAsia="仿宋_GB2312"/>
                <w:sz w:val="22"/>
                <w:color w:val="000000"/>
              </w:rPr>
              <w:t>按照市财政培训标准执行</w:t>
            </w:r>
            <w:r>
              <w:rPr>
                <w:rFonts w:ascii="仿宋_GB2312" w:hAnsi="仿宋_GB2312" w:cs="仿宋_GB2312" w:eastAsia="仿宋_GB2312"/>
                <w:sz w:val="22"/>
                <w:color w:val="000000"/>
              </w:rPr>
              <w:t>，包含餐费、资料费、会务费以及师资费。所有培训需提供签到表、课程评估表以及影像资料</w:t>
            </w:r>
            <w:r>
              <w:rPr>
                <w:rFonts w:ascii="仿宋_GB2312" w:hAnsi="仿宋_GB2312" w:cs="仿宋_GB2312" w:eastAsia="仿宋_GB2312"/>
                <w:sz w:val="22"/>
                <w:color w:val="000000"/>
              </w:rPr>
              <w:t>。）</w:t>
            </w:r>
          </w:p>
          <w:p>
            <w:pPr>
              <w:pStyle w:val="null3"/>
              <w:ind w:firstLine="440"/>
              <w:jc w:val="both"/>
            </w:pPr>
            <w:r>
              <w:rPr>
                <w:rFonts w:ascii="仿宋_GB2312" w:hAnsi="仿宋_GB2312" w:cs="仿宋_GB2312" w:eastAsia="仿宋_GB2312"/>
                <w:sz w:val="22"/>
                <w:color w:val="000000"/>
              </w:rPr>
              <w:t>2.西安市社会组织服务高质量发展品牌展示交流活动4期。</w:t>
            </w:r>
            <w:r>
              <w:rPr>
                <w:rFonts w:ascii="仿宋_GB2312" w:hAnsi="仿宋_GB2312" w:cs="仿宋_GB2312" w:eastAsia="仿宋_GB2312"/>
                <w:sz w:val="22"/>
                <w:color w:val="000000"/>
              </w:rPr>
              <w:t>建立西安社会组织高质量发展支持保障机制，</w:t>
            </w:r>
            <w:r>
              <w:rPr>
                <w:rFonts w:ascii="仿宋_GB2312" w:hAnsi="仿宋_GB2312" w:cs="仿宋_GB2312" w:eastAsia="仿宋_GB2312"/>
                <w:sz w:val="22"/>
                <w:color w:val="000000"/>
              </w:rPr>
              <w:t>邀请</w:t>
            </w:r>
            <w:r>
              <w:rPr>
                <w:rFonts w:ascii="仿宋_GB2312" w:hAnsi="仿宋_GB2312" w:cs="仿宋_GB2312" w:eastAsia="仿宋_GB2312"/>
                <w:sz w:val="22"/>
                <w:color w:val="000000"/>
              </w:rPr>
              <w:t>30名具有引领示范作用的行业协会商会主要负责人参加展示交流，</w:t>
            </w:r>
            <w:r>
              <w:rPr>
                <w:rFonts w:ascii="仿宋_GB2312" w:hAnsi="仿宋_GB2312" w:cs="仿宋_GB2312" w:eastAsia="仿宋_GB2312"/>
                <w:sz w:val="22"/>
                <w:color w:val="000000"/>
              </w:rPr>
              <w:t>搭建</w:t>
            </w:r>
            <w:r>
              <w:rPr>
                <w:rFonts w:ascii="仿宋_GB2312" w:hAnsi="仿宋_GB2312" w:cs="仿宋_GB2312" w:eastAsia="仿宋_GB2312"/>
                <w:sz w:val="22"/>
                <w:color w:val="000000"/>
              </w:rPr>
              <w:t>“政社校企”互动平台，</w:t>
            </w:r>
            <w:r>
              <w:rPr>
                <w:rFonts w:ascii="仿宋_GB2312" w:hAnsi="仿宋_GB2312" w:cs="仿宋_GB2312" w:eastAsia="仿宋_GB2312"/>
                <w:sz w:val="22"/>
                <w:color w:val="000000"/>
              </w:rPr>
              <w:t>实现资源共享。（注：活动费用按照市财政标准据实结算。活动需要提供签到册、影像资料及成果展示。）</w:t>
            </w:r>
          </w:p>
          <w:p>
            <w:pPr>
              <w:pStyle w:val="null3"/>
              <w:ind w:firstLine="440"/>
              <w:jc w:val="both"/>
            </w:pPr>
            <w:r>
              <w:rPr>
                <w:rFonts w:ascii="仿宋_GB2312" w:hAnsi="仿宋_GB2312" w:cs="仿宋_GB2312" w:eastAsia="仿宋_GB2312"/>
                <w:sz w:val="22"/>
                <w:color w:val="000000"/>
              </w:rPr>
              <w:t>3.组织“社启长安”品牌系列活动6期。</w:t>
            </w:r>
            <w:r>
              <w:rPr>
                <w:rFonts w:ascii="仿宋_GB2312" w:hAnsi="仿宋_GB2312" w:cs="仿宋_GB2312" w:eastAsia="仿宋_GB2312"/>
                <w:sz w:val="22"/>
                <w:color w:val="000000"/>
              </w:rPr>
              <w:t>充分发挥社会组织作用，激发社会组织活力，引导</w:t>
            </w:r>
            <w:r>
              <w:rPr>
                <w:rFonts w:ascii="仿宋_GB2312" w:hAnsi="仿宋_GB2312" w:cs="仿宋_GB2312" w:eastAsia="仿宋_GB2312"/>
                <w:sz w:val="22"/>
                <w:color w:val="000000"/>
              </w:rPr>
              <w:t>和支持社会组织发挥自身优势，</w:t>
            </w:r>
            <w:r>
              <w:rPr>
                <w:rFonts w:ascii="仿宋_GB2312" w:hAnsi="仿宋_GB2312" w:cs="仿宋_GB2312" w:eastAsia="仿宋_GB2312"/>
                <w:sz w:val="22"/>
                <w:color w:val="000000"/>
              </w:rPr>
              <w:t>高效参与民政服务项目，在为民服务、促进民生福祉改善等方面发挥独特功能和重要作用，切实提升社会服务的专业性与覆盖面，形成一批实实在在、可落地的为民服务项目。</w:t>
            </w:r>
            <w:r>
              <w:rPr>
                <w:rFonts w:ascii="仿宋_GB2312" w:hAnsi="仿宋_GB2312" w:cs="仿宋_GB2312" w:eastAsia="仿宋_GB2312"/>
                <w:sz w:val="22"/>
                <w:color w:val="000000"/>
              </w:rPr>
              <w:t>（注：活动费用按照市财政标准据实结算。活动需要提供签到册、影像资料及成果展示。）</w:t>
            </w:r>
          </w:p>
          <w:p>
            <w:pPr>
              <w:pStyle w:val="null3"/>
              <w:ind w:firstLine="440"/>
              <w:jc w:val="both"/>
            </w:pPr>
            <w:r>
              <w:rPr>
                <w:rFonts w:ascii="仿宋_GB2312" w:hAnsi="仿宋_GB2312" w:cs="仿宋_GB2312" w:eastAsia="仿宋_GB2312"/>
                <w:sz w:val="22"/>
                <w:color w:val="000000"/>
              </w:rPr>
              <w:t>4</w:t>
            </w:r>
            <w:r>
              <w:rPr>
                <w:rFonts w:ascii="仿宋_GB2312" w:hAnsi="仿宋_GB2312" w:cs="仿宋_GB2312" w:eastAsia="仿宋_GB2312"/>
                <w:sz w:val="22"/>
                <w:color w:val="000000"/>
              </w:rPr>
              <w:t>.组织品牌社会组织负责人外出交流学习</w:t>
            </w:r>
            <w:r>
              <w:rPr>
                <w:rFonts w:ascii="仿宋_GB2312" w:hAnsi="仿宋_GB2312" w:cs="仿宋_GB2312" w:eastAsia="仿宋_GB2312"/>
                <w:sz w:val="22"/>
                <w:color w:val="000000"/>
              </w:rPr>
              <w:t>1次。</w:t>
            </w:r>
            <w:r>
              <w:rPr>
                <w:rFonts w:ascii="仿宋_GB2312" w:hAnsi="仿宋_GB2312" w:cs="仿宋_GB2312" w:eastAsia="仿宋_GB2312"/>
                <w:sz w:val="22"/>
                <w:color w:val="000000"/>
              </w:rPr>
              <w:t>组织</w:t>
            </w:r>
            <w:r>
              <w:rPr>
                <w:rFonts w:ascii="仿宋_GB2312" w:hAnsi="仿宋_GB2312" w:cs="仿宋_GB2312" w:eastAsia="仿宋_GB2312"/>
                <w:sz w:val="22"/>
                <w:color w:val="000000"/>
              </w:rPr>
              <w:t>15名优秀社会组织代表</w:t>
            </w:r>
            <w:r>
              <w:rPr>
                <w:rFonts w:ascii="仿宋_GB2312" w:hAnsi="仿宋_GB2312" w:cs="仿宋_GB2312" w:eastAsia="仿宋_GB2312"/>
                <w:sz w:val="22"/>
                <w:color w:val="000000"/>
              </w:rPr>
              <w:t>前往社会组织发展成熟的地区，考察当地标杆性社会组织、孵化基地以及社会企业</w:t>
            </w:r>
            <w:r>
              <w:rPr>
                <w:rFonts w:ascii="仿宋_GB2312" w:hAnsi="仿宋_GB2312" w:cs="仿宋_GB2312" w:eastAsia="仿宋_GB2312"/>
                <w:sz w:val="22"/>
                <w:color w:val="000000"/>
              </w:rPr>
              <w:t>。</w:t>
            </w:r>
            <w:r>
              <w:rPr>
                <w:rFonts w:ascii="仿宋_GB2312" w:hAnsi="仿宋_GB2312" w:cs="仿宋_GB2312" w:eastAsia="仿宋_GB2312"/>
                <w:sz w:val="22"/>
                <w:color w:val="000000"/>
              </w:rPr>
              <w:t>学习先进地区社会组织的发展经验，提升西安市社会组织的战略规划与资源整合能力。</w:t>
            </w:r>
            <w:r>
              <w:rPr>
                <w:rFonts w:ascii="仿宋_GB2312" w:hAnsi="仿宋_GB2312" w:cs="仿宋_GB2312" w:eastAsia="仿宋_GB2312"/>
                <w:sz w:val="22"/>
                <w:color w:val="000000"/>
              </w:rPr>
              <w:t>（注：活动费用按照市财政标准据实结算。活动需要提供签到册、影像资料及成果展示、调研报告。）</w:t>
            </w:r>
          </w:p>
          <w:p>
            <w:pPr>
              <w:pStyle w:val="null3"/>
              <w:ind w:firstLine="440"/>
              <w:jc w:val="both"/>
            </w:pPr>
            <w:r>
              <w:rPr>
                <w:rFonts w:ascii="仿宋_GB2312" w:hAnsi="仿宋_GB2312" w:cs="仿宋_GB2312" w:eastAsia="仿宋_GB2312"/>
                <w:sz w:val="21"/>
                <w:b/>
              </w:rPr>
              <w:t>三、服务标准：</w:t>
            </w:r>
            <w:r>
              <w:rPr>
                <w:rFonts w:ascii="仿宋_GB2312" w:hAnsi="仿宋_GB2312" w:cs="仿宋_GB2312" w:eastAsia="仿宋_GB2312"/>
                <w:sz w:val="21"/>
              </w:rPr>
              <w:t>符合国家及行业有关现行规范、标准的要求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服务期满半年</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提供2024年度或2023年度的财务审计报告或开标前六个月内其基本存款账户开户银行出具的资信证明（附开户许可证或开户备案证明或基本账户信息）；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4资质证明文件（参考格式）</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 ，不得再参加该采购项目的其他采购活动。</w:t>
            </w:r>
          </w:p>
        </w:tc>
        <w:tc>
          <w:tcPr>
            <w:tcW w:type="dxa" w:w="1661"/>
          </w:tcPr>
          <w:p>
            <w:pPr>
              <w:pStyle w:val="null3"/>
            </w:pPr>
            <w:r>
              <w:rPr>
                <w:rFonts w:ascii="仿宋_GB2312" w:hAnsi="仿宋_GB2312" w:cs="仿宋_GB2312" w:eastAsia="仿宋_GB2312"/>
              </w:rPr>
              <w:t>4资质证明文件（参考格式）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2服务要求响应表 3商务响应表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4资质证明文件（参考格式） 标的清单 报价表 2服务要求响应表 3商务响应表 响应函 6供应商拒绝政府采购领域商业贿赂承诺书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响应文件封面 4资质证明文件（参考格式） 1分项报价表 标的清单 报价表 2服务要求响应表 3商务响应表 响应函 6供应商拒绝政府采购领域商业贿赂承诺书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1分项报价表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供应商磋商报价的总价超过采购预算或最高限价，作为不实质性响应磋商文件处理。</w:t>
            </w:r>
          </w:p>
        </w:tc>
        <w:tc>
          <w:tcPr>
            <w:tcW w:type="dxa" w:w="1661"/>
          </w:tcPr>
          <w:p>
            <w:pPr>
              <w:pStyle w:val="null3"/>
            </w:pPr>
            <w:r>
              <w:rPr>
                <w:rFonts w:ascii="仿宋_GB2312" w:hAnsi="仿宋_GB2312" w:cs="仿宋_GB2312" w:eastAsia="仿宋_GB2312"/>
              </w:rPr>
              <w:t>1分项报价表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供应商根据本项目提出适用于本项目的总体方案，方案包括：①服务重难点分析②服务目标③服务计划。 方案全面合理可行、针对性强得10分，方案较全面合理可行、针对性较强得7分，方案基本合理可行、针对性一般得4分，方案部分合理可行、有一定针对性得2分，未提供不得分。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w:t>
            </w:r>
          </w:p>
        </w:tc>
      </w:tr>
      <w:tr>
        <w:tc>
          <w:tcPr>
            <w:tcW w:type="dxa" w:w="831"/>
            <w:vMerge/>
          </w:tcPr>
          <w:p/>
        </w:tc>
        <w:tc>
          <w:tcPr>
            <w:tcW w:type="dxa" w:w="1661"/>
          </w:tcPr>
          <w:p>
            <w:pPr>
              <w:pStyle w:val="null3"/>
            </w:pPr>
            <w:r>
              <w:rPr>
                <w:rFonts w:ascii="仿宋_GB2312" w:hAnsi="仿宋_GB2312" w:cs="仿宋_GB2312" w:eastAsia="仿宋_GB2312"/>
              </w:rPr>
              <w:t>培训制度</w:t>
            </w:r>
          </w:p>
        </w:tc>
        <w:tc>
          <w:tcPr>
            <w:tcW w:type="dxa" w:w="2492"/>
          </w:tcPr>
          <w:p>
            <w:pPr>
              <w:pStyle w:val="null3"/>
            </w:pPr>
            <w:r>
              <w:rPr>
                <w:rFonts w:ascii="仿宋_GB2312" w:hAnsi="仿宋_GB2312" w:cs="仿宋_GB2312" w:eastAsia="仿宋_GB2312"/>
              </w:rPr>
              <w:t>供应商根据本项目制定合理、可行的培训制度方案，保证培训人员的专业能力素质、及培训内容的可行，培训内容包含本项目所有需要培训的内容，且具有实质性培训图文案例、有承接规模性网络培训经验，有完善的专家智库等。 方案全面合理可行、针对性强得10分，方案较全面合理可行、针对性较强得7分；方案基本合理可行、针对性一般得4分，方案部分合理可行、有一定针对性得2分，未提供不得分。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w:t>
            </w:r>
          </w:p>
        </w:tc>
      </w:tr>
      <w:tr>
        <w:tc>
          <w:tcPr>
            <w:tcW w:type="dxa" w:w="831"/>
            <w:vMerge/>
          </w:tcPr>
          <w:p/>
        </w:tc>
        <w:tc>
          <w:tcPr>
            <w:tcW w:type="dxa" w:w="1661"/>
          </w:tcPr>
          <w:p>
            <w:pPr>
              <w:pStyle w:val="null3"/>
            </w:pPr>
            <w:r>
              <w:rPr>
                <w:rFonts w:ascii="仿宋_GB2312" w:hAnsi="仿宋_GB2312" w:cs="仿宋_GB2312" w:eastAsia="仿宋_GB2312"/>
              </w:rPr>
              <w:t>公众号运营</w:t>
            </w:r>
          </w:p>
        </w:tc>
        <w:tc>
          <w:tcPr>
            <w:tcW w:type="dxa" w:w="2492"/>
          </w:tcPr>
          <w:p>
            <w:pPr>
              <w:pStyle w:val="null3"/>
            </w:pPr>
            <w:r>
              <w:rPr>
                <w:rFonts w:ascii="仿宋_GB2312" w:hAnsi="仿宋_GB2312" w:cs="仿宋_GB2312" w:eastAsia="仿宋_GB2312"/>
              </w:rPr>
              <w:t>供应根据本项目提供合理可行的公众号运营方案，方案包含运营团队人员组成、人员相关职业资格证、公众号的编辑及策划、粉丝维护、内容维护（关键词的回复、消息回复等）等内容。 方案全面合理可行、运营团队专业性强得10分，方案较全面合理可行、运营团队专业性较强得7分，方案基本合理可行、运营团队专业性一般得4分，方案部分合理可行、运营团队专业性较差得2分，未提供不得分。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w:t>
            </w:r>
          </w:p>
        </w:tc>
      </w:tr>
      <w:tr>
        <w:tc>
          <w:tcPr>
            <w:tcW w:type="dxa" w:w="831"/>
            <w:vMerge/>
          </w:tcPr>
          <w:p/>
        </w:tc>
        <w:tc>
          <w:tcPr>
            <w:tcW w:type="dxa" w:w="1661"/>
          </w:tcPr>
          <w:p>
            <w:pPr>
              <w:pStyle w:val="null3"/>
            </w:pPr>
            <w:r>
              <w:rPr>
                <w:rFonts w:ascii="仿宋_GB2312" w:hAnsi="仿宋_GB2312" w:cs="仿宋_GB2312" w:eastAsia="仿宋_GB2312"/>
              </w:rPr>
              <w:t>平台基础设施设备维保</w:t>
            </w:r>
          </w:p>
        </w:tc>
        <w:tc>
          <w:tcPr>
            <w:tcW w:type="dxa" w:w="2492"/>
          </w:tcPr>
          <w:p>
            <w:pPr>
              <w:pStyle w:val="null3"/>
            </w:pPr>
            <w:r>
              <w:rPr>
                <w:rFonts w:ascii="仿宋_GB2312" w:hAnsi="仿宋_GB2312" w:cs="仿宋_GB2312" w:eastAsia="仿宋_GB2312"/>
              </w:rPr>
              <w:t>供应根据本项目提供合理可行的设施设备维保方案，方案包含维保专业人员的组成、设施设备的维保方案等。 方案全面合理可行、针对性强得10分，方案较全面合理可行、针对性较强得7分，方案基本合理可行、针对性一般得4分，方案部分合理可行、有一定针对性得2分，未提供不得分。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w:t>
            </w:r>
          </w:p>
        </w:tc>
      </w:tr>
      <w:tr>
        <w:tc>
          <w:tcPr>
            <w:tcW w:type="dxa" w:w="831"/>
            <w:vMerge/>
          </w:tcPr>
          <w:p/>
        </w:tc>
        <w:tc>
          <w:tcPr>
            <w:tcW w:type="dxa" w:w="1661"/>
          </w:tcPr>
          <w:p>
            <w:pPr>
              <w:pStyle w:val="null3"/>
            </w:pPr>
            <w:r>
              <w:rPr>
                <w:rFonts w:ascii="仿宋_GB2312" w:hAnsi="仿宋_GB2312" w:cs="仿宋_GB2312" w:eastAsia="仿宋_GB2312"/>
              </w:rPr>
              <w:t>信息收集及数据统计</w:t>
            </w:r>
          </w:p>
        </w:tc>
        <w:tc>
          <w:tcPr>
            <w:tcW w:type="dxa" w:w="2492"/>
          </w:tcPr>
          <w:p>
            <w:pPr>
              <w:pStyle w:val="null3"/>
            </w:pPr>
            <w:r>
              <w:rPr>
                <w:rFonts w:ascii="仿宋_GB2312" w:hAnsi="仿宋_GB2312" w:cs="仿宋_GB2312" w:eastAsia="仿宋_GB2312"/>
              </w:rPr>
              <w:t>供应商根据本项目提供清晰可行的方案，方案包含信息收集及数据统计类型等。 方案清晰可行得5分；方案部分清晰、较可行得3分，未提供不得分。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w:t>
            </w:r>
          </w:p>
        </w:tc>
      </w:tr>
      <w:tr>
        <w:tc>
          <w:tcPr>
            <w:tcW w:type="dxa" w:w="831"/>
            <w:vMerge/>
          </w:tcPr>
          <w:p/>
        </w:tc>
        <w:tc>
          <w:tcPr>
            <w:tcW w:type="dxa" w:w="1661"/>
          </w:tcPr>
          <w:p>
            <w:pPr>
              <w:pStyle w:val="null3"/>
            </w:pPr>
            <w:r>
              <w:rPr>
                <w:rFonts w:ascii="仿宋_GB2312" w:hAnsi="仿宋_GB2312" w:cs="仿宋_GB2312" w:eastAsia="仿宋_GB2312"/>
              </w:rPr>
              <w:t>项目整体团队人员配备</w:t>
            </w:r>
          </w:p>
        </w:tc>
        <w:tc>
          <w:tcPr>
            <w:tcW w:type="dxa" w:w="2492"/>
          </w:tcPr>
          <w:p>
            <w:pPr>
              <w:pStyle w:val="null3"/>
            </w:pPr>
            <w:r>
              <w:rPr>
                <w:rFonts w:ascii="仿宋_GB2312" w:hAnsi="仿宋_GB2312" w:cs="仿宋_GB2312" w:eastAsia="仿宋_GB2312"/>
              </w:rPr>
              <w:t>供应商根据本项目提供的拟投入整体团队人员 分工明确、配置合理，经验丰富，专业性强得10分；分工较明确、配置较合理、经验较丰富得7分；分工基本明确、配置基本合理得4分；分工混乱、部分满足采购要求得2分，未提供不得分。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根据本项目提供合理可行的的应急预案，包含公众号设施设备的瘫痪、敏感内容、培训时的突发状况（人员的安全）等。 应急预案内容完善、合理可行、针对性强的得10分；应急预案内容较完善、合理、针对性较强的得7分；应急预案内容基本完善、合理、针对性一般的得4分；应急预案内容宽泛、部分合理得2分，未提供不得分。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w:t>
            </w:r>
          </w:p>
        </w:tc>
      </w:tr>
      <w:tr>
        <w:tc>
          <w:tcPr>
            <w:tcW w:type="dxa" w:w="831"/>
            <w:vMerge/>
          </w:tcPr>
          <w:p/>
        </w:tc>
        <w:tc>
          <w:tcPr>
            <w:tcW w:type="dxa" w:w="1661"/>
          </w:tcPr>
          <w:p>
            <w:pPr>
              <w:pStyle w:val="null3"/>
            </w:pPr>
            <w:r>
              <w:rPr>
                <w:rFonts w:ascii="仿宋_GB2312" w:hAnsi="仿宋_GB2312" w:cs="仿宋_GB2312" w:eastAsia="仿宋_GB2312"/>
              </w:rPr>
              <w:t>员工管理</w:t>
            </w:r>
          </w:p>
        </w:tc>
        <w:tc>
          <w:tcPr>
            <w:tcW w:type="dxa" w:w="2492"/>
          </w:tcPr>
          <w:p>
            <w:pPr>
              <w:pStyle w:val="null3"/>
            </w:pPr>
            <w:r>
              <w:rPr>
                <w:rFonts w:ascii="仿宋_GB2312" w:hAnsi="仿宋_GB2312" w:cs="仿宋_GB2312" w:eastAsia="仿宋_GB2312"/>
              </w:rPr>
              <w:t>供应商提供管理制度及考核办法等。 制度清晰可行得5分；制度部分清晰、较可行得3分，未提供不得分。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提供2022年1月1日至今类似项目业绩，响应文件中附有其业绩证明材料，业绩以合同或中标（成交）通知书为依据，每提供一个计2分，满分10分。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经资格审查、符合性审查合格的响应文件，其磋商报价为有效磋商报价，对符合政策性扣减的供应商的有效磋商价格进行政策性扣减，并依据扣减后的价格（评审价格）进行价格评审。 满足磋商文件要求且最终磋商报价最低的磋商报价为评标基准价，其价格分为满分。价格分按照下列公式计算。 报价得分=（评标基准价/有效报价）×价格权重（20%）×100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w:t>
      </w:r>
    </w:p>
    <w:p>
      <w:pPr>
        <w:pStyle w:val="null3"/>
        <w:ind w:firstLine="960"/>
      </w:pPr>
      <w:r>
        <w:rPr>
          <w:rFonts w:ascii="仿宋_GB2312" w:hAnsi="仿宋_GB2312" w:cs="仿宋_GB2312" w:eastAsia="仿宋_GB2312"/>
        </w:rPr>
        <w:t>详见附件：2服务要求响应表</w:t>
      </w:r>
    </w:p>
    <w:p>
      <w:pPr>
        <w:pStyle w:val="null3"/>
        <w:ind w:firstLine="960"/>
      </w:pPr>
      <w:r>
        <w:rPr>
          <w:rFonts w:ascii="仿宋_GB2312" w:hAnsi="仿宋_GB2312" w:cs="仿宋_GB2312" w:eastAsia="仿宋_GB2312"/>
        </w:rPr>
        <w:t>详见附件：3商务响应表</w:t>
      </w:r>
    </w:p>
    <w:p>
      <w:pPr>
        <w:pStyle w:val="null3"/>
        <w:ind w:firstLine="960"/>
      </w:pPr>
      <w:r>
        <w:rPr>
          <w:rFonts w:ascii="仿宋_GB2312" w:hAnsi="仿宋_GB2312" w:cs="仿宋_GB2312" w:eastAsia="仿宋_GB2312"/>
        </w:rPr>
        <w:t>详见附件：4资质证明文件（参考格式）</w:t>
      </w:r>
    </w:p>
    <w:p>
      <w:pPr>
        <w:pStyle w:val="null3"/>
        <w:ind w:firstLine="960"/>
      </w:pPr>
      <w:r>
        <w:rPr>
          <w:rFonts w:ascii="仿宋_GB2312" w:hAnsi="仿宋_GB2312" w:cs="仿宋_GB2312" w:eastAsia="仿宋_GB2312"/>
        </w:rPr>
        <w:t>详见附件：5服务方案</w:t>
      </w:r>
    </w:p>
    <w:p>
      <w:pPr>
        <w:pStyle w:val="null3"/>
        <w:ind w:firstLine="960"/>
      </w:pPr>
      <w:r>
        <w:rPr>
          <w:rFonts w:ascii="仿宋_GB2312" w:hAnsi="仿宋_GB2312" w:cs="仿宋_GB2312" w:eastAsia="仿宋_GB2312"/>
        </w:rPr>
        <w:t>详见附件：6供应商拒绝政府采购领域商业贿赂承诺书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