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393781">
      <w:pPr>
        <w:keepNext w:val="0"/>
        <w:keepLines w:val="0"/>
        <w:pageBreakBefore w:val="0"/>
        <w:kinsoku/>
        <w:wordWrap/>
        <w:topLinePunct w:val="0"/>
        <w:bidi w:val="0"/>
        <w:snapToGrid/>
        <w:spacing w:line="360" w:lineRule="auto"/>
        <w:jc w:val="center"/>
        <w:textAlignment w:val="auto"/>
        <w:rPr>
          <w:rFonts w:hint="eastAsia" w:ascii="宋体" w:hAnsi="宋体" w:eastAsia="宋体" w:cs="宋体"/>
          <w:color w:val="auto"/>
          <w:sz w:val="24"/>
          <w:szCs w:val="32"/>
          <w:highlight w:val="none"/>
          <w:lang w:eastAsia="zh-CN"/>
        </w:rPr>
      </w:pPr>
      <w:r>
        <w:rPr>
          <w:rFonts w:hint="eastAsia" w:ascii="宋体" w:hAnsi="宋体" w:cs="宋体"/>
          <w:b/>
          <w:bCs/>
          <w:color w:val="auto"/>
          <w:sz w:val="32"/>
          <w:szCs w:val="32"/>
          <w:highlight w:val="none"/>
        </w:rPr>
        <w:t>合同草案条款</w:t>
      </w:r>
    </w:p>
    <w:p w14:paraId="730D601A">
      <w:pPr>
        <w:keepNext w:val="0"/>
        <w:keepLines w:val="0"/>
        <w:pageBreakBefore w:val="0"/>
        <w:kinsoku/>
        <w:wordWrap/>
        <w:topLinePunct w:val="0"/>
        <w:bidi w:val="0"/>
        <w:snapToGrid/>
        <w:spacing w:line="360" w:lineRule="auto"/>
        <w:ind w:firstLine="480" w:firstLineChars="200"/>
        <w:textAlignment w:val="auto"/>
        <w:rPr>
          <w:rFonts w:hint="default" w:ascii="宋体" w:hAnsi="宋体" w:eastAsia="宋体" w:cs="宋体"/>
          <w:color w:val="auto"/>
          <w:sz w:val="24"/>
          <w:szCs w:val="32"/>
          <w:highlight w:val="none"/>
          <w:lang w:val="en-US" w:eastAsia="zh-CN"/>
        </w:rPr>
      </w:pPr>
      <w:r>
        <w:rPr>
          <w:rFonts w:hint="eastAsia" w:ascii="宋体" w:hAnsi="宋体" w:eastAsia="宋体" w:cs="宋体"/>
          <w:color w:val="auto"/>
          <w:sz w:val="24"/>
          <w:szCs w:val="32"/>
          <w:highlight w:val="none"/>
        </w:rPr>
        <w:t>采购人（以下简称甲方）：</w:t>
      </w:r>
      <w:r>
        <w:rPr>
          <w:rFonts w:hint="eastAsia" w:ascii="宋体" w:hAnsi="宋体" w:cs="宋体"/>
          <w:color w:val="auto"/>
          <w:sz w:val="24"/>
          <w:szCs w:val="32"/>
          <w:highlight w:val="none"/>
          <w:u w:val="single"/>
          <w:lang w:val="en-US" w:eastAsia="zh-CN"/>
        </w:rPr>
        <w:t xml:space="preserve">                            </w:t>
      </w:r>
      <w:r>
        <w:rPr>
          <w:rFonts w:hint="eastAsia" w:ascii="宋体" w:hAnsi="宋体" w:cs="宋体"/>
          <w:color w:val="auto"/>
          <w:sz w:val="24"/>
          <w:szCs w:val="32"/>
          <w:highlight w:val="none"/>
          <w:lang w:val="en-US" w:eastAsia="zh-CN"/>
        </w:rPr>
        <w:t xml:space="preserve">   </w:t>
      </w:r>
    </w:p>
    <w:p w14:paraId="2931FB7A">
      <w:pPr>
        <w:keepNext w:val="0"/>
        <w:keepLines w:val="0"/>
        <w:pageBreakBefore w:val="0"/>
        <w:kinsoku/>
        <w:wordWrap/>
        <w:topLinePunct w:val="0"/>
        <w:bidi w:val="0"/>
        <w:snapToGrid/>
        <w:spacing w:line="360" w:lineRule="auto"/>
        <w:ind w:firstLine="480" w:firstLineChars="200"/>
        <w:textAlignment w:val="auto"/>
        <w:rPr>
          <w:rFonts w:hint="default" w:ascii="宋体" w:hAnsi="宋体" w:eastAsia="宋体" w:cs="宋体"/>
          <w:color w:val="auto"/>
          <w:sz w:val="24"/>
          <w:szCs w:val="32"/>
          <w:highlight w:val="none"/>
          <w:lang w:val="en-US" w:eastAsia="zh-CN"/>
        </w:rPr>
      </w:pPr>
      <w:r>
        <w:rPr>
          <w:rFonts w:hint="eastAsia" w:ascii="宋体" w:hAnsi="宋体" w:eastAsia="宋体" w:cs="宋体"/>
          <w:color w:val="auto"/>
          <w:sz w:val="24"/>
          <w:szCs w:val="32"/>
          <w:highlight w:val="none"/>
        </w:rPr>
        <w:t>供应商（以下简称乙方）：</w:t>
      </w:r>
      <w:r>
        <w:rPr>
          <w:rFonts w:hint="eastAsia" w:ascii="宋体" w:hAnsi="宋体" w:cs="宋体"/>
          <w:color w:val="auto"/>
          <w:sz w:val="24"/>
          <w:szCs w:val="32"/>
          <w:highlight w:val="none"/>
          <w:u w:val="single"/>
          <w:lang w:val="en-US" w:eastAsia="zh-CN"/>
        </w:rPr>
        <w:t xml:space="preserve">                            </w:t>
      </w:r>
      <w:r>
        <w:rPr>
          <w:rFonts w:hint="eastAsia" w:ascii="宋体" w:hAnsi="宋体" w:cs="宋体"/>
          <w:color w:val="auto"/>
          <w:sz w:val="24"/>
          <w:szCs w:val="32"/>
          <w:highlight w:val="none"/>
          <w:lang w:val="en-US" w:eastAsia="zh-CN"/>
        </w:rPr>
        <w:t xml:space="preserve"> </w:t>
      </w:r>
    </w:p>
    <w:p w14:paraId="1D7040C3">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根据《中华人民共和国民法典》、《中华人民共和国政府采购法》及其它有关法律、行政法规，为明确双方在</w:t>
      </w:r>
      <w:r>
        <w:rPr>
          <w:rFonts w:hint="eastAsia" w:ascii="宋体" w:hAnsi="宋体" w:cs="宋体"/>
          <w:bCs/>
          <w:color w:val="auto"/>
          <w:sz w:val="24"/>
          <w:highlight w:val="none"/>
          <w:lang w:eastAsia="zh-CN"/>
        </w:rPr>
        <w:t>实施</w:t>
      </w:r>
      <w:r>
        <w:rPr>
          <w:rFonts w:hint="eastAsia" w:ascii="宋体" w:hAnsi="宋体" w:eastAsia="宋体" w:cs="宋体"/>
          <w:bCs/>
          <w:color w:val="auto"/>
          <w:sz w:val="24"/>
          <w:highlight w:val="none"/>
        </w:rPr>
        <w:t>过程中的权利、义务，经双方协商自愿签订本合同。</w:t>
      </w:r>
    </w:p>
    <w:p w14:paraId="7685479F">
      <w:pPr>
        <w:keepNext w:val="0"/>
        <w:keepLines w:val="0"/>
        <w:pageBreakBefore w:val="0"/>
        <w:kinsoku/>
        <w:wordWrap/>
        <w:topLinePunct w:val="0"/>
        <w:bidi w:val="0"/>
        <w:snapToGrid/>
        <w:spacing w:line="360" w:lineRule="auto"/>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一、合同组成</w:t>
      </w:r>
    </w:p>
    <w:p w14:paraId="3EA8375C">
      <w:pPr>
        <w:keepNext w:val="0"/>
        <w:keepLines w:val="0"/>
        <w:pageBreakBefore w:val="0"/>
        <w:kinsoku/>
        <w:wordWrap/>
        <w:topLinePunct w:val="0"/>
        <w:autoSpaceDE w:val="0"/>
        <w:autoSpaceDN w:val="0"/>
        <w:bidi w:val="0"/>
        <w:adjustRightInd w:val="0"/>
        <w:snapToGrid/>
        <w:spacing w:line="360" w:lineRule="auto"/>
        <w:ind w:left="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zh-CN"/>
        </w:rPr>
        <w:t>下述文件是构成本合同不可分割的部分</w:t>
      </w:r>
      <w:r>
        <w:rPr>
          <w:rFonts w:hint="eastAsia" w:ascii="宋体" w:hAnsi="宋体" w:eastAsia="宋体" w:cs="宋体"/>
          <w:color w:val="auto"/>
          <w:sz w:val="24"/>
          <w:highlight w:val="none"/>
        </w:rPr>
        <w:t>:</w:t>
      </w:r>
    </w:p>
    <w:p w14:paraId="27AA9B2C">
      <w:pPr>
        <w:keepNext w:val="0"/>
        <w:keepLines w:val="0"/>
        <w:pageBreakBefore w:val="0"/>
        <w:kinsoku/>
        <w:wordWrap/>
        <w:topLinePunct w:val="0"/>
        <w:autoSpaceDE w:val="0"/>
        <w:autoSpaceDN w:val="0"/>
        <w:bidi w:val="0"/>
        <w:adjustRightInd w:val="0"/>
        <w:snapToGrid/>
        <w:spacing w:line="360" w:lineRule="auto"/>
        <w:ind w:left="48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zh-CN"/>
        </w:rPr>
        <w:t>本合同条款及其所有附件。</w:t>
      </w:r>
    </w:p>
    <w:p w14:paraId="23C1DB75">
      <w:pPr>
        <w:keepNext w:val="0"/>
        <w:keepLines w:val="0"/>
        <w:pageBreakBefore w:val="0"/>
        <w:kinsoku/>
        <w:wordWrap/>
        <w:topLinePunct w:val="0"/>
        <w:autoSpaceDE w:val="0"/>
        <w:autoSpaceDN w:val="0"/>
        <w:bidi w:val="0"/>
        <w:adjustRightInd w:val="0"/>
        <w:snapToGrid/>
        <w:spacing w:line="360" w:lineRule="auto"/>
        <w:ind w:firstLine="480"/>
        <w:jc w:val="left"/>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val="zh-CN"/>
        </w:rPr>
        <w:t>甲方的磋商文件及澄清文件。</w:t>
      </w:r>
    </w:p>
    <w:p w14:paraId="6D834B8B">
      <w:pPr>
        <w:keepNext w:val="0"/>
        <w:keepLines w:val="0"/>
        <w:pageBreakBefore w:val="0"/>
        <w:kinsoku/>
        <w:wordWrap/>
        <w:topLinePunct w:val="0"/>
        <w:autoSpaceDE w:val="0"/>
        <w:autoSpaceDN w:val="0"/>
        <w:bidi w:val="0"/>
        <w:adjustRightInd w:val="0"/>
        <w:snapToGrid/>
        <w:spacing w:line="360" w:lineRule="auto"/>
        <w:ind w:firstLine="480"/>
        <w:jc w:val="left"/>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zh-CN"/>
        </w:rPr>
        <w:t>乙方的磋商响应文件及质疑解答文件。</w:t>
      </w:r>
    </w:p>
    <w:p w14:paraId="5534300D">
      <w:pPr>
        <w:keepNext w:val="0"/>
        <w:keepLines w:val="0"/>
        <w:pageBreakBefore w:val="0"/>
        <w:kinsoku/>
        <w:wordWrap/>
        <w:topLinePunct w:val="0"/>
        <w:autoSpaceDE w:val="0"/>
        <w:autoSpaceDN w:val="0"/>
        <w:bidi w:val="0"/>
        <w:adjustRightInd w:val="0"/>
        <w:snapToGrid/>
        <w:spacing w:line="360" w:lineRule="auto"/>
        <w:ind w:firstLine="48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rPr>
        <w:t>4）</w:t>
      </w:r>
      <w:r>
        <w:rPr>
          <w:rFonts w:hint="eastAsia" w:ascii="宋体" w:hAnsi="宋体" w:eastAsia="宋体" w:cs="宋体"/>
          <w:color w:val="auto"/>
          <w:sz w:val="24"/>
          <w:highlight w:val="none"/>
          <w:lang w:val="zh-CN"/>
        </w:rPr>
        <w:t>成交通知书。</w:t>
      </w:r>
    </w:p>
    <w:p w14:paraId="15BC2549">
      <w:pPr>
        <w:keepNext w:val="0"/>
        <w:keepLines w:val="0"/>
        <w:pageBreakBefore w:val="0"/>
        <w:kinsoku/>
        <w:wordWrap/>
        <w:topLinePunct w:val="0"/>
        <w:autoSpaceDE w:val="0"/>
        <w:autoSpaceDN w:val="0"/>
        <w:bidi w:val="0"/>
        <w:adjustRightInd w:val="0"/>
        <w:snapToGrid/>
        <w:spacing w:line="360" w:lineRule="auto"/>
        <w:ind w:firstLine="48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（5）</w:t>
      </w:r>
      <w:r>
        <w:rPr>
          <w:rFonts w:hint="eastAsia" w:ascii="宋体" w:hAnsi="宋体" w:eastAsia="宋体" w:cs="宋体"/>
          <w:color w:val="auto"/>
          <w:sz w:val="24"/>
          <w:highlight w:val="none"/>
          <w:lang w:val="zh-CN"/>
        </w:rPr>
        <w:t>法定代表人授权书。</w:t>
      </w:r>
    </w:p>
    <w:p w14:paraId="3C8A3C9F">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（6）双方与合同有关的往来信函、传真经双方法定代表人或其授权代表签字并加盖单位公章确认后视为本合同的组成部分。</w:t>
      </w:r>
    </w:p>
    <w:p w14:paraId="66D7F1DE">
      <w:pPr>
        <w:keepNext w:val="0"/>
        <w:keepLines w:val="0"/>
        <w:pageBreakBefore w:val="0"/>
        <w:kinsoku/>
        <w:wordWrap/>
        <w:topLinePunct w:val="0"/>
        <w:autoSpaceDE w:val="0"/>
        <w:autoSpaceDN w:val="0"/>
        <w:bidi w:val="0"/>
        <w:adjustRightInd w:val="0"/>
        <w:snapToGrid/>
        <w:spacing w:line="360" w:lineRule="auto"/>
        <w:ind w:firstLine="48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（7）经双方法定代表人或其授权代表签字并加盖单位公章确认的补充协议。</w:t>
      </w:r>
    </w:p>
    <w:p w14:paraId="76FBB76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val="zh-CN"/>
        </w:rPr>
        <w:t>如果乙方的磋商响应文件及质疑解答文件内容违背或低于甲方磋商文件要求或任何可能导致影响当次采购目的的情形，均应当被视为乙方自动放弃磋商响应文件及质疑解答文件中相应部分而同意以磋商文件相应内容为准。如果乙方的磋商响应文件及质疑解答文件内容高于甲方磋商文件要求，则以乙方的磋商响应文件及质疑解答文件内容为准。如果合同条款与合同附件有矛盾之处，以合同条款内容为准。</w:t>
      </w:r>
      <w:r>
        <w:rPr>
          <w:rFonts w:hint="eastAsia" w:ascii="宋体" w:hAnsi="宋体" w:eastAsia="宋体" w:cs="宋体"/>
          <w:color w:val="auto"/>
          <w:sz w:val="24"/>
          <w:highlight w:val="none"/>
        </w:rPr>
        <w:t>如果合同附件之间有矛盾之处，以有利于甲方的附件内容为准。</w:t>
      </w:r>
    </w:p>
    <w:p w14:paraId="5672E892">
      <w:pPr>
        <w:keepNext w:val="0"/>
        <w:keepLines w:val="0"/>
        <w:pageBreakBefore w:val="0"/>
        <w:kinsoku/>
        <w:wordWrap/>
        <w:overflowPunct w:val="0"/>
        <w:topLinePunct w:val="0"/>
        <w:bidi w:val="0"/>
        <w:snapToGrid/>
        <w:spacing w:line="360" w:lineRule="auto"/>
        <w:ind w:firstLine="480"/>
        <w:textAlignment w:val="auto"/>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3.上述合同文件应能够相互解释、相互说明。如合同文件之间出现不一致，除本合同另有约定外，第（1）款至（6）款的排列顺序就是合同文件的优先解释顺序。对于第（7）款中双方达成的补充协议与原合同（包括（1）-（6）款中所列的所有文件）存在不一致，以签订日期在后的补充协议为准。</w:t>
      </w:r>
    </w:p>
    <w:p w14:paraId="27594FD2">
      <w:pPr>
        <w:keepNext w:val="0"/>
        <w:keepLines w:val="0"/>
        <w:pageBreakBefore w:val="0"/>
        <w:kinsoku/>
        <w:wordWrap/>
        <w:topLinePunct w:val="0"/>
        <w:bidi w:val="0"/>
        <w:snapToGrid/>
        <w:spacing w:line="360" w:lineRule="auto"/>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二、项目概况</w:t>
      </w:r>
    </w:p>
    <w:p w14:paraId="435819B6">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Cs/>
          <w:color w:val="auto"/>
          <w:sz w:val="24"/>
          <w:highlight w:val="none"/>
        </w:rPr>
        <w:t>1.服务内容：</w:t>
      </w:r>
    </w:p>
    <w:p w14:paraId="128A1E9F">
      <w:pPr>
        <w:keepNext w:val="0"/>
        <w:keepLines w:val="0"/>
        <w:pageBreakBefore w:val="0"/>
        <w:kinsoku/>
        <w:wordWrap/>
        <w:topLinePunct w:val="0"/>
        <w:bidi w:val="0"/>
        <w:snapToGrid/>
        <w:spacing w:line="360" w:lineRule="auto"/>
        <w:ind w:firstLine="480" w:firstLineChars="200"/>
        <w:jc w:val="left"/>
        <w:textAlignment w:val="auto"/>
        <w:rPr>
          <w:rFonts w:hint="eastAsia" w:ascii="宋体" w:hAnsi="宋体" w:eastAsia="宋体" w:cs="宋体"/>
          <w:color w:val="auto"/>
          <w:highlight w:val="none"/>
          <w:lang w:eastAsia="zh-CN"/>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eastAsia="zh-CN"/>
        </w:rPr>
        <w:t>服务</w:t>
      </w:r>
      <w:r>
        <w:rPr>
          <w:rFonts w:hint="eastAsia" w:ascii="宋体" w:hAnsi="宋体" w:eastAsia="宋体" w:cs="宋体"/>
          <w:color w:val="auto"/>
          <w:sz w:val="24"/>
          <w:highlight w:val="none"/>
        </w:rPr>
        <w:t>期：</w:t>
      </w:r>
      <w:r>
        <w:rPr>
          <w:rFonts w:hint="eastAsia" w:ascii="宋体" w:hAnsi="宋体" w:eastAsia="宋体" w:cs="宋体"/>
          <w:color w:val="auto"/>
          <w:sz w:val="24"/>
          <w:highlight w:val="none"/>
          <w:lang w:val="en-US" w:eastAsia="zh-CN"/>
        </w:rPr>
        <w:t>自合同签订之日起一年</w:t>
      </w:r>
    </w:p>
    <w:p w14:paraId="60F7EB54">
      <w:pPr>
        <w:keepNext w:val="0"/>
        <w:keepLines w:val="0"/>
        <w:pageBreakBefore w:val="0"/>
        <w:kinsoku/>
        <w:wordWrap/>
        <w:topLinePunct w:val="0"/>
        <w:bidi w:val="0"/>
        <w:snapToGrid/>
        <w:spacing w:line="360" w:lineRule="auto"/>
        <w:ind w:firstLine="480" w:firstLineChars="200"/>
        <w:textAlignment w:val="auto"/>
        <w:rPr>
          <w:rFonts w:hint="eastAsia" w:ascii="宋体" w:hAnsi="宋体" w:cs="宋体"/>
          <w:sz w:val="24"/>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eastAsia="zh-CN"/>
        </w:rPr>
        <w:t>服务地点：</w:t>
      </w:r>
      <w:r>
        <w:rPr>
          <w:rFonts w:hint="eastAsia" w:ascii="宋体" w:hAnsi="宋体" w:cs="宋体"/>
          <w:sz w:val="24"/>
        </w:rPr>
        <w:t>采购人指定地点</w:t>
      </w:r>
    </w:p>
    <w:p w14:paraId="6F10C878">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lang w:eastAsia="zh-CN"/>
        </w:rPr>
        <w:t>服务标准</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符合国家及行业有关现行规范、标准的要求</w:t>
      </w:r>
    </w:p>
    <w:p w14:paraId="11A52672">
      <w:pPr>
        <w:keepNext w:val="0"/>
        <w:keepLines w:val="0"/>
        <w:pageBreakBefore w:val="0"/>
        <w:kinsoku/>
        <w:wordWrap/>
        <w:topLinePunct w:val="0"/>
        <w:bidi w:val="0"/>
        <w:snapToGrid/>
        <w:spacing w:line="360" w:lineRule="auto"/>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三、</w:t>
      </w:r>
      <w:r>
        <w:rPr>
          <w:rFonts w:hint="eastAsia" w:ascii="宋体" w:hAnsi="宋体" w:eastAsia="宋体" w:cs="宋体"/>
          <w:b/>
          <w:bCs/>
          <w:color w:val="auto"/>
          <w:sz w:val="24"/>
          <w:highlight w:val="none"/>
        </w:rPr>
        <w:t>合同价款及付款比例</w:t>
      </w:r>
    </w:p>
    <w:p w14:paraId="303F4DE4">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auto"/>
          <w:sz w:val="24"/>
          <w:highlight w:val="none"/>
          <w:lang w:eastAsia="zh-CN"/>
        </w:rPr>
      </w:pPr>
      <w:r>
        <w:rPr>
          <w:rFonts w:hint="eastAsia" w:ascii="宋体" w:hAnsi="宋体" w:eastAsia="宋体" w:cs="宋体"/>
          <w:bCs/>
          <w:color w:val="auto"/>
          <w:sz w:val="24"/>
          <w:highlight w:val="none"/>
        </w:rPr>
        <w:t>1.合同价款：</w:t>
      </w:r>
      <w:r>
        <w:rPr>
          <w:rFonts w:hint="eastAsia" w:ascii="宋体" w:hAnsi="宋体" w:eastAsia="宋体" w:cs="宋体"/>
          <w:color w:val="auto"/>
          <w:sz w:val="24"/>
          <w:highlight w:val="none"/>
        </w:rPr>
        <w:t>合同为固定</w:t>
      </w:r>
      <w:r>
        <w:rPr>
          <w:rFonts w:hint="eastAsia" w:ascii="宋体" w:hAnsi="宋体" w:eastAsia="宋体" w:cs="宋体"/>
          <w:color w:val="auto"/>
          <w:sz w:val="24"/>
          <w:highlight w:val="none"/>
          <w:lang w:eastAsia="zh-CN"/>
        </w:rPr>
        <w:t>总</w:t>
      </w:r>
      <w:r>
        <w:rPr>
          <w:rFonts w:hint="eastAsia" w:ascii="宋体" w:hAnsi="宋体" w:eastAsia="宋体" w:cs="宋体"/>
          <w:color w:val="auto"/>
          <w:sz w:val="24"/>
          <w:highlight w:val="none"/>
        </w:rPr>
        <w:t>价合同</w:t>
      </w:r>
      <w:r>
        <w:rPr>
          <w:rFonts w:hint="eastAsia" w:ascii="宋体" w:hAnsi="宋体" w:eastAsia="宋体" w:cs="宋体"/>
          <w:color w:val="auto"/>
          <w:sz w:val="24"/>
          <w:highlight w:val="none"/>
          <w:lang w:eastAsia="zh-CN"/>
        </w:rPr>
        <w:t>。</w:t>
      </w:r>
    </w:p>
    <w:p w14:paraId="6ACEBEA3">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bCs/>
          <w:color w:val="auto"/>
          <w:sz w:val="24"/>
          <w:highlight w:val="none"/>
          <w:lang w:val="en-US" w:eastAsia="zh-CN"/>
        </w:rPr>
      </w:pPr>
      <w:r>
        <w:rPr>
          <w:rFonts w:hint="eastAsia" w:ascii="宋体" w:hAnsi="宋体" w:eastAsia="宋体" w:cs="宋体"/>
          <w:color w:val="auto"/>
          <w:sz w:val="24"/>
          <w:szCs w:val="24"/>
          <w:highlight w:val="none"/>
        </w:rPr>
        <w:t>合同总价款</w:t>
      </w:r>
      <w:r>
        <w:rPr>
          <w:rFonts w:hint="eastAsia" w:ascii="宋体" w:hAnsi="宋体" w:eastAsia="宋体" w:cs="宋体"/>
          <w:color w:val="auto"/>
          <w:sz w:val="24"/>
          <w:highlight w:val="none"/>
        </w:rPr>
        <w:t>人民币（大写）</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元，（小写）</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元。</w:t>
      </w:r>
    </w:p>
    <w:p w14:paraId="7A0B8255">
      <w:pPr>
        <w:keepNext w:val="0"/>
        <w:keepLines w:val="0"/>
        <w:pageBreakBefore w:val="0"/>
        <w:numPr>
          <w:ilvl w:val="0"/>
          <w:numId w:val="0"/>
        </w:numPr>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lang w:val="en-US" w:eastAsia="zh-CN"/>
        </w:rPr>
      </w:pPr>
      <w:r>
        <w:rPr>
          <w:rFonts w:hint="eastAsia" w:ascii="宋体" w:hAnsi="宋体" w:eastAsia="宋体" w:cs="宋体"/>
          <w:bCs/>
          <w:color w:val="auto"/>
          <w:sz w:val="24"/>
          <w:highlight w:val="none"/>
          <w:lang w:val="en-US" w:eastAsia="zh-CN"/>
        </w:rPr>
        <w:t>2.</w:t>
      </w:r>
      <w:r>
        <w:rPr>
          <w:rFonts w:hint="eastAsia" w:ascii="宋体" w:hAnsi="宋体" w:eastAsia="宋体" w:cs="宋体"/>
          <w:bCs/>
          <w:color w:val="auto"/>
          <w:sz w:val="24"/>
          <w:highlight w:val="none"/>
        </w:rPr>
        <w:t>付款方式：</w:t>
      </w:r>
      <w:r>
        <w:rPr>
          <w:rFonts w:hint="eastAsia" w:ascii="宋体" w:hAnsi="宋体" w:eastAsia="宋体" w:cs="宋体"/>
          <w:bCs/>
          <w:color w:val="auto"/>
          <w:sz w:val="24"/>
          <w:highlight w:val="none"/>
          <w:lang w:val="en-US" w:eastAsia="zh-CN"/>
        </w:rPr>
        <w:t>合同签订后，乙方应开具增值税发票，达到付款条件起15日内，支付合同总金额的50.00%</w:t>
      </w:r>
      <w:r>
        <w:rPr>
          <w:rFonts w:hint="eastAsia" w:ascii="宋体" w:hAnsi="宋体" w:eastAsia="宋体" w:cs="宋体"/>
          <w:color w:val="auto"/>
          <w:sz w:val="24"/>
          <w:highlight w:val="none"/>
          <w:lang w:val="en-US" w:eastAsia="zh-CN"/>
        </w:rPr>
        <w:t>,服务期满半年，达到付款条件起15日内，支付合同总金额的35.00%，服务期满后，达到付款条件起15日内，剩余款项一次性付清。</w:t>
      </w:r>
    </w:p>
    <w:p w14:paraId="285D44C7">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3.乙方开户银行指定账户为：</w:t>
      </w:r>
    </w:p>
    <w:p w14:paraId="689DB3DA">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收款人：</w:t>
      </w:r>
    </w:p>
    <w:p w14:paraId="3E633E14">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开户行：</w:t>
      </w:r>
    </w:p>
    <w:p w14:paraId="799270A1">
      <w:pPr>
        <w:keepNext w:val="0"/>
        <w:keepLines w:val="0"/>
        <w:pageBreakBefore w:val="0"/>
        <w:widowControl/>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账号：</w:t>
      </w:r>
    </w:p>
    <w:p w14:paraId="4721C08F">
      <w:pPr>
        <w:keepNext w:val="0"/>
        <w:keepLines w:val="0"/>
        <w:pageBreakBefore w:val="0"/>
        <w:kinsoku/>
        <w:wordWrap/>
        <w:topLinePunct w:val="0"/>
        <w:bidi w:val="0"/>
        <w:snapToGrid/>
        <w:spacing w:line="360" w:lineRule="auto"/>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lang w:val="en-US" w:eastAsia="zh-CN"/>
        </w:rPr>
        <w:t>四、</w:t>
      </w:r>
      <w:r>
        <w:rPr>
          <w:rFonts w:hint="eastAsia" w:ascii="宋体" w:hAnsi="宋体" w:eastAsia="宋体" w:cs="宋体"/>
          <w:b/>
          <w:color w:val="auto"/>
          <w:sz w:val="24"/>
          <w:highlight w:val="none"/>
        </w:rPr>
        <w:t>乙方：</w:t>
      </w:r>
      <w:r>
        <w:rPr>
          <w:rFonts w:hint="eastAsia" w:ascii="宋体" w:hAnsi="宋体" w:eastAsia="宋体" w:cs="宋体"/>
          <w:bCs/>
          <w:color w:val="auto"/>
          <w:sz w:val="24"/>
          <w:highlight w:val="none"/>
        </w:rPr>
        <w:t>本项目拟派</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为负责人，联系电话：</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，身份证号：</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w:t>
      </w:r>
    </w:p>
    <w:p w14:paraId="0C41F517">
      <w:pPr>
        <w:pStyle w:val="4"/>
        <w:keepNext w:val="0"/>
        <w:keepLines w:val="0"/>
        <w:pageBreakBefore w:val="0"/>
        <w:kinsoku/>
        <w:wordWrap/>
        <w:topLinePunct w:val="0"/>
        <w:bidi w:val="0"/>
        <w:snapToGrid/>
        <w:spacing w:line="360" w:lineRule="auto"/>
        <w:textAlignment w:val="auto"/>
        <w:rPr>
          <w:rFonts w:hint="eastAsia" w:ascii="宋体" w:hAnsi="宋体" w:eastAsia="宋体" w:cs="宋体"/>
          <w:b/>
          <w:color w:val="auto"/>
          <w:sz w:val="24"/>
          <w:szCs w:val="24"/>
          <w:highlight w:val="none"/>
          <w:lang w:val="zh-CN"/>
        </w:rPr>
      </w:pPr>
      <w:r>
        <w:rPr>
          <w:rFonts w:hint="eastAsia" w:ascii="宋体" w:hAnsi="宋体" w:eastAsia="宋体" w:cs="宋体"/>
          <w:b/>
          <w:color w:val="auto"/>
          <w:sz w:val="24"/>
          <w:szCs w:val="24"/>
          <w:highlight w:val="none"/>
          <w:lang w:val="zh-CN"/>
        </w:rPr>
        <w:t>五、甲方的主要责任和权利</w:t>
      </w:r>
    </w:p>
    <w:p w14:paraId="1F36CF96">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1.乙方在为甲方提供服务时所形成的成果及成果的知识产权归甲方所有。</w:t>
      </w:r>
    </w:p>
    <w:p w14:paraId="4D91A54C">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2.甲方有权随时了解乙方的工作进展情况，并对</w:t>
      </w:r>
      <w:r>
        <w:rPr>
          <w:rFonts w:hint="eastAsia" w:ascii="宋体" w:hAnsi="宋体" w:eastAsia="宋体" w:cs="宋体"/>
          <w:color w:val="auto"/>
          <w:sz w:val="24"/>
          <w:highlight w:val="none"/>
          <w:lang w:eastAsia="zh-CN"/>
        </w:rPr>
        <w:t>服务过程</w:t>
      </w:r>
      <w:r>
        <w:rPr>
          <w:rFonts w:hint="eastAsia" w:ascii="宋体" w:hAnsi="宋体" w:eastAsia="宋体" w:cs="宋体"/>
          <w:color w:val="auto"/>
          <w:sz w:val="24"/>
          <w:highlight w:val="none"/>
        </w:rPr>
        <w:t>进行监督检查。</w:t>
      </w:r>
    </w:p>
    <w:p w14:paraId="70F01E4E">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3.甲方将向乙方提供为完成服务工作所需要的信息、资料和其他相关协助。</w:t>
      </w:r>
    </w:p>
    <w:p w14:paraId="022894DC">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4.甲方若认为乙方履行合同不力严重影响项目服务质量，甲方有权要求更换乙方主要人员，直至终止合同。</w:t>
      </w:r>
    </w:p>
    <w:p w14:paraId="374C22F5">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5.甲方支持乙方的工作，按合同保证乙方责任和权力的统一。</w:t>
      </w:r>
    </w:p>
    <w:p w14:paraId="3FF329AA">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6.甲方有权阐述对具体问题的意见和建议。</w:t>
      </w:r>
    </w:p>
    <w:p w14:paraId="3916B849">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7.甲方有权根据项目的具体情况，要求乙方按期到项目现场解决争议。</w:t>
      </w:r>
    </w:p>
    <w:p w14:paraId="4AA8D466">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8.甲方有权对服务质量进行评估，若服务评估结果不合格，甲方有权扣除不超过10%的合同金额或终止合同。</w:t>
      </w:r>
    </w:p>
    <w:p w14:paraId="1F3DD05D">
      <w:pPr>
        <w:keepNext w:val="0"/>
        <w:keepLines w:val="0"/>
        <w:pageBreakBefore w:val="0"/>
        <w:kinsoku/>
        <w:wordWrap/>
        <w:topLinePunct w:val="0"/>
        <w:bidi w:val="0"/>
        <w:snapToGrid/>
        <w:spacing w:line="360" w:lineRule="auto"/>
        <w:ind w:firstLine="482" w:firstLineChars="200"/>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六、乙方的主要责任和权利</w:t>
      </w:r>
    </w:p>
    <w:p w14:paraId="6D20CC48">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1.乙方必须具有履行本合同书所需的技能，必须按照相关的职业准则完成其全部职责。</w:t>
      </w:r>
    </w:p>
    <w:p w14:paraId="6180CDE6">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2.乙方应根据本合同的约定提交相关文件、资料。</w:t>
      </w:r>
    </w:p>
    <w:p w14:paraId="5F8E5D13">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.对甲方提供的基础资料、数据、信息等严格保密。</w:t>
      </w:r>
    </w:p>
    <w:p w14:paraId="64D48D74">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.解答甲方提出的与项目有关的询问，接受甲方监督和检查，无条件按照甲方要求对成果报告进行整改和完善。</w:t>
      </w:r>
    </w:p>
    <w:p w14:paraId="01A5FD16">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.乙方应根据本合同的约定提供服务并提交工作成果，确保所提交成果的实用质量，具有可借鉴、可操作性。</w:t>
      </w:r>
    </w:p>
    <w:p w14:paraId="7E579122">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rPr>
        <w:t>.乙方人员服务期中发生任何安全问题均与甲方无关，乙方应确保项目人员均购买人身保险。</w:t>
      </w:r>
    </w:p>
    <w:p w14:paraId="026BAFF9">
      <w:pPr>
        <w:pStyle w:val="7"/>
        <w:keepNext w:val="0"/>
        <w:keepLines w:val="0"/>
        <w:pageBreakBefore w:val="0"/>
        <w:tabs>
          <w:tab w:val="left" w:pos="1134"/>
          <w:tab w:val="left" w:pos="1418"/>
        </w:tabs>
        <w:kinsoku/>
        <w:wordWrap/>
        <w:topLinePunct w:val="0"/>
        <w:bidi w:val="0"/>
        <w:adjustRightInd w:val="0"/>
        <w:snapToGrid/>
        <w:spacing w:line="360" w:lineRule="auto"/>
        <w:ind w:left="0" w:leftChars="0" w:firstLine="0" w:firstLineChars="0"/>
        <w:textAlignment w:val="auto"/>
        <w:rPr>
          <w:rFonts w:hint="eastAsia" w:ascii="宋体" w:hAnsi="宋体" w:eastAsia="宋体" w:cs="宋体"/>
          <w:b/>
          <w:color w:val="auto"/>
          <w:highlight w:val="none"/>
          <w:lang w:val="en-US" w:eastAsia="zh-CN"/>
        </w:rPr>
      </w:pPr>
      <w:r>
        <w:rPr>
          <w:rFonts w:hint="eastAsia" w:ascii="宋体" w:hAnsi="宋体" w:eastAsia="宋体" w:cs="宋体"/>
          <w:b/>
          <w:color w:val="auto"/>
          <w:highlight w:val="none"/>
          <w:lang w:val="en-US" w:eastAsia="zh-CN"/>
        </w:rPr>
        <w:t>七、</w:t>
      </w:r>
      <w:r>
        <w:rPr>
          <w:rFonts w:hint="eastAsia" w:ascii="宋体" w:hAnsi="宋体" w:eastAsia="宋体" w:cs="宋体"/>
          <w:b/>
          <w:color w:val="auto"/>
          <w:highlight w:val="none"/>
          <w:lang w:val="zh-CN" w:eastAsia="zh-CN"/>
        </w:rPr>
        <w:t>知识产权</w:t>
      </w:r>
    </w:p>
    <w:p w14:paraId="02F2B555">
      <w:pPr>
        <w:keepNext w:val="0"/>
        <w:keepLines w:val="0"/>
        <w:pageBreakBefore w:val="0"/>
        <w:kinsoku/>
        <w:wordWrap/>
        <w:topLinePunct w:val="0"/>
        <w:bidi w:val="0"/>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乙方在为甲方提供服务时所获得或形成成果的知识产权归甲方所有，未经甲方许可，乙方不得以任何方式使用，亦不得出于任何目的向第三方披露或许可第三方使用。主要以该项目形成的成果参加各类评奖，应经甲方书面同意，与甲方共同申报。</w:t>
      </w:r>
    </w:p>
    <w:p w14:paraId="642AF0BA">
      <w:pPr>
        <w:keepNext w:val="0"/>
        <w:keepLines w:val="0"/>
        <w:pageBreakBefore w:val="0"/>
        <w:kinsoku/>
        <w:wordWrap/>
        <w:topLinePunct w:val="0"/>
        <w:bidi w:val="0"/>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2.若乙方在为甲方提供服务时侵犯了第三人的权利，致使甲方受到索赔或起诉，由此给甲方造成的一切损失由乙方承担，同时甲方有权解除合同，同时乙方及时消除不良影响。</w:t>
      </w:r>
    </w:p>
    <w:p w14:paraId="12FC2933">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3.若未经甲方许可，乙方擅自使用或向第三方披露或许可第三方使用在为甲方提供服务时所获得的成果，甲方有权要求乙方或第三方停止侵权，并承担以此带来的所有损失，同时消除不良影响。</w:t>
      </w:r>
    </w:p>
    <w:p w14:paraId="514613EF">
      <w:pPr>
        <w:pStyle w:val="8"/>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val="en-US" w:eastAsia="zh-CN"/>
        </w:rPr>
      </w:pPr>
      <w:r>
        <w:rPr>
          <w:rFonts w:hint="eastAsia" w:ascii="宋体" w:hAnsi="宋体" w:cs="宋体"/>
          <w:sz w:val="24"/>
          <w:lang w:val="en-US" w:eastAsia="zh-CN"/>
        </w:rPr>
        <w:t>4.</w:t>
      </w:r>
      <w:r>
        <w:rPr>
          <w:rFonts w:hint="eastAsia" w:ascii="宋体" w:hAnsi="宋体" w:cs="宋体"/>
          <w:sz w:val="24"/>
        </w:rPr>
        <w:t>本合同条款的规定不因本合同的到期而失效。</w:t>
      </w:r>
    </w:p>
    <w:p w14:paraId="16CD20F9">
      <w:pPr>
        <w:pStyle w:val="7"/>
        <w:keepNext w:val="0"/>
        <w:keepLines w:val="0"/>
        <w:pageBreakBefore w:val="0"/>
        <w:tabs>
          <w:tab w:val="left" w:pos="1134"/>
          <w:tab w:val="left" w:pos="1418"/>
        </w:tabs>
        <w:kinsoku/>
        <w:wordWrap/>
        <w:topLinePunct w:val="0"/>
        <w:bidi w:val="0"/>
        <w:adjustRightInd w:val="0"/>
        <w:snapToGrid/>
        <w:spacing w:line="360" w:lineRule="auto"/>
        <w:ind w:left="0" w:leftChars="0" w:firstLine="0" w:firstLineChars="0"/>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color w:val="auto"/>
          <w:highlight w:val="none"/>
          <w:lang w:val="en-US" w:eastAsia="zh-CN"/>
        </w:rPr>
        <w:t>八、</w:t>
      </w:r>
      <w:r>
        <w:rPr>
          <w:rFonts w:hint="eastAsia" w:ascii="宋体" w:hAnsi="宋体" w:eastAsia="宋体" w:cs="宋体"/>
          <w:b/>
          <w:bCs/>
          <w:color w:val="auto"/>
          <w:kern w:val="2"/>
          <w:sz w:val="24"/>
          <w:szCs w:val="24"/>
          <w:highlight w:val="none"/>
          <w:lang w:val="en-US" w:eastAsia="zh-CN" w:bidi="ar-SA"/>
        </w:rPr>
        <w:t>验收</w:t>
      </w:r>
    </w:p>
    <w:p w14:paraId="7EC4302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验收时间：项目完成后</w:t>
      </w:r>
    </w:p>
    <w:p w14:paraId="595FF18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质量标准：</w:t>
      </w:r>
      <w:r>
        <w:rPr>
          <w:rFonts w:hint="eastAsia" w:ascii="宋体" w:hAnsi="宋体" w:eastAsia="宋体" w:cs="宋体"/>
          <w:color w:val="auto"/>
          <w:sz w:val="24"/>
          <w:highlight w:val="none"/>
        </w:rPr>
        <w:t>符合国家</w:t>
      </w:r>
      <w:r>
        <w:rPr>
          <w:rFonts w:hint="eastAsia" w:ascii="宋体" w:hAnsi="宋体" w:eastAsia="宋体" w:cs="宋体"/>
          <w:color w:val="auto"/>
          <w:sz w:val="24"/>
          <w:highlight w:val="none"/>
          <w:lang w:val="en-US" w:eastAsia="zh-CN"/>
        </w:rPr>
        <w:t>及行业</w:t>
      </w:r>
      <w:r>
        <w:rPr>
          <w:rFonts w:hint="eastAsia" w:ascii="宋体" w:hAnsi="宋体" w:eastAsia="宋体" w:cs="宋体"/>
          <w:color w:val="auto"/>
          <w:sz w:val="24"/>
          <w:highlight w:val="none"/>
        </w:rPr>
        <w:t>有关现行规范、标准的要求</w:t>
      </w:r>
    </w:p>
    <w:p w14:paraId="508E93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验收合格条件：符合国家标准和技术规格书及合同要求，符合竞争性磋商文件、成交供应商的响应文件、澄清文件和成交通知书的要求等,乙方应严格按照上述及采购人要求实施项目服务，甲方有权对乙方服务质量进行评估，当乙方出现较为严重的服务质量问题时，从乙方服务费中扣除合同总价的10%。</w:t>
      </w:r>
    </w:p>
    <w:p w14:paraId="64887A4E">
      <w:pPr>
        <w:pStyle w:val="7"/>
        <w:keepNext w:val="0"/>
        <w:keepLines w:val="0"/>
        <w:pageBreakBefore w:val="0"/>
        <w:tabs>
          <w:tab w:val="left" w:pos="1134"/>
          <w:tab w:val="left" w:pos="1418"/>
        </w:tabs>
        <w:kinsoku/>
        <w:wordWrap/>
        <w:topLinePunct w:val="0"/>
        <w:bidi w:val="0"/>
        <w:adjustRightInd w:val="0"/>
        <w:snapToGrid/>
        <w:spacing w:line="360" w:lineRule="auto"/>
        <w:ind w:left="0" w:leftChars="0" w:firstLine="0" w:firstLineChars="0"/>
        <w:textAlignment w:val="auto"/>
        <w:rPr>
          <w:rFonts w:hint="eastAsia" w:ascii="宋体" w:hAnsi="宋体" w:eastAsia="宋体" w:cs="宋体"/>
          <w:b/>
          <w:color w:val="auto"/>
          <w:highlight w:val="none"/>
          <w:lang w:val="zh-CN" w:eastAsia="zh-CN"/>
        </w:rPr>
      </w:pPr>
      <w:r>
        <w:rPr>
          <w:rFonts w:hint="eastAsia" w:ascii="宋体" w:hAnsi="宋体" w:eastAsia="宋体" w:cs="宋体"/>
          <w:b/>
          <w:color w:val="auto"/>
          <w:highlight w:val="none"/>
          <w:lang w:val="en-US" w:eastAsia="zh-CN"/>
        </w:rPr>
        <w:t>九</w:t>
      </w:r>
      <w:r>
        <w:rPr>
          <w:rFonts w:hint="eastAsia" w:ascii="宋体" w:hAnsi="宋体" w:eastAsia="宋体" w:cs="宋体"/>
          <w:b/>
          <w:color w:val="auto"/>
          <w:highlight w:val="none"/>
          <w:lang w:val="zh-CN" w:eastAsia="zh-CN"/>
        </w:rPr>
        <w:t>、保密</w:t>
      </w:r>
    </w:p>
    <w:p w14:paraId="6433833B">
      <w:pPr>
        <w:keepNext w:val="0"/>
        <w:keepLines w:val="0"/>
        <w:pageBreakBefore w:val="0"/>
        <w:kinsoku/>
        <w:wordWrap/>
        <w:topLinePunct w:val="0"/>
        <w:bidi w:val="0"/>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1.在本合同的履行期内，乙方获得与本项目相关的信息（包括获得的资料等），应当采取适当有效的方式保护，不得未经授权使用、传播或公开。</w:t>
      </w:r>
    </w:p>
    <w:p w14:paraId="4DC0CB4A">
      <w:pPr>
        <w:keepNext w:val="0"/>
        <w:keepLines w:val="0"/>
        <w:pageBreakBefore w:val="0"/>
        <w:kinsoku/>
        <w:wordWrap/>
        <w:topLinePunct w:val="0"/>
        <w:bidi w:val="0"/>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2.乙方在项目实施过程中接触或产生涉密数据的，应严格按《中华人民共和国保守国家秘密法》以及其他相关法律法规和制度执行。如由于乙方的原因而导致泄密的，乙方应承担相应法律责任。</w:t>
      </w:r>
    </w:p>
    <w:p w14:paraId="4EC070ED">
      <w:pPr>
        <w:pStyle w:val="8"/>
        <w:keepNext w:val="0"/>
        <w:keepLines w:val="0"/>
        <w:pageBreakBefore w:val="0"/>
        <w:kinsoku/>
        <w:wordWrap/>
        <w:topLinePunct w:val="0"/>
        <w:bidi w:val="0"/>
        <w:snapToGrid/>
        <w:spacing w:line="360" w:lineRule="auto"/>
        <w:ind w:left="0" w:leftChars="0" w:firstLine="0" w:firstLineChars="0"/>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十</w:t>
      </w:r>
      <w:r>
        <w:rPr>
          <w:rFonts w:hint="eastAsia" w:ascii="宋体" w:hAnsi="宋体" w:eastAsia="宋体" w:cs="宋体"/>
          <w:b/>
          <w:bCs/>
          <w:color w:val="auto"/>
          <w:sz w:val="24"/>
          <w:highlight w:val="none"/>
        </w:rPr>
        <w:t>、不可抗力</w:t>
      </w:r>
    </w:p>
    <w:p w14:paraId="69C1808A">
      <w:pPr>
        <w:pStyle w:val="8"/>
        <w:keepNext w:val="0"/>
        <w:keepLines w:val="0"/>
        <w:pageBreakBefore w:val="0"/>
        <w:kinsoku/>
        <w:wordWrap/>
        <w:topLinePunct w:val="0"/>
        <w:bidi w:val="0"/>
        <w:snapToGrid/>
        <w:spacing w:line="360" w:lineRule="auto"/>
        <w:ind w:firstLine="480"/>
        <w:textAlignment w:val="auto"/>
        <w:rPr>
          <w:rFonts w:hint="eastAsia" w:ascii="宋体" w:hAnsi="宋体" w:eastAsia="宋体" w:cs="宋体"/>
          <w:bCs/>
          <w:color w:val="auto"/>
          <w:sz w:val="24"/>
          <w:highlight w:val="none"/>
        </w:rPr>
      </w:pPr>
      <w:r>
        <w:rPr>
          <w:rFonts w:hint="eastAsia" w:ascii="宋体" w:hAnsi="宋体" w:eastAsia="宋体" w:cs="宋体"/>
          <w:color w:val="auto"/>
          <w:sz w:val="24"/>
          <w:highlight w:val="none"/>
        </w:rPr>
        <w:t>1.如果双方任何一方由于遭受诸如战争、严重火灾、洪水、台风、地震等重大自然灾害、以及双方同意的其他不可抗力的事故，致使影响合同履行，履行合同的期限应予以延长，延长的期限应相当于事故所影响的时间。不可抗力事故系指甲乙双方在缔结合同时所不能预见的，并且它的发生及其后果是无法避免和无法克服的事故。</w:t>
      </w:r>
    </w:p>
    <w:p w14:paraId="29580B26">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2.遭受不可抗力一方应在不可抗力事故发生后尽快以书面形式通知另一方；并在事故发生后</w:t>
      </w:r>
      <w:r>
        <w:rPr>
          <w:rFonts w:hint="eastAsia" w:ascii="宋体" w:hAnsi="宋体" w:eastAsia="宋体" w:cs="宋体"/>
          <w:color w:val="auto"/>
          <w:sz w:val="24"/>
          <w:highlight w:val="none"/>
          <w:u w:val="single"/>
        </w:rPr>
        <w:t>十（10）</w:t>
      </w:r>
      <w:r>
        <w:rPr>
          <w:rFonts w:hint="eastAsia" w:ascii="宋体" w:hAnsi="宋体" w:eastAsia="宋体" w:cs="宋体"/>
          <w:color w:val="auto"/>
          <w:sz w:val="24"/>
          <w:highlight w:val="none"/>
        </w:rPr>
        <w:t>个日历日内，将有关部门出具的证明文件、详细情况报告以及不可抗力对合同影响程度的说明用特快专递或挂号信的形式寄给另一方。如果不可抗力影响时间延续</w:t>
      </w:r>
      <w:r>
        <w:rPr>
          <w:rFonts w:hint="eastAsia" w:ascii="宋体" w:hAnsi="宋体" w:eastAsia="宋体" w:cs="宋体"/>
          <w:color w:val="auto"/>
          <w:sz w:val="24"/>
          <w:highlight w:val="none"/>
          <w:u w:val="single"/>
        </w:rPr>
        <w:t>二十（20）</w:t>
      </w:r>
      <w:r>
        <w:rPr>
          <w:rFonts w:hint="eastAsia" w:ascii="宋体" w:hAnsi="宋体" w:eastAsia="宋体" w:cs="宋体"/>
          <w:color w:val="auto"/>
          <w:sz w:val="24"/>
          <w:highlight w:val="none"/>
        </w:rPr>
        <w:t>个日历日以上，双方应通过友好协商在合理的时间内达成进一步履行合同或终止合同的协议。</w:t>
      </w:r>
    </w:p>
    <w:p w14:paraId="1E8B1A5F">
      <w:pPr>
        <w:keepNext w:val="0"/>
        <w:keepLines w:val="0"/>
        <w:pageBreakBefore w:val="0"/>
        <w:kinsoku/>
        <w:wordWrap/>
        <w:topLinePunct w:val="0"/>
        <w:bidi w:val="0"/>
        <w:snapToGrid/>
        <w:spacing w:line="360" w:lineRule="auto"/>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十</w:t>
      </w:r>
      <w:r>
        <w:rPr>
          <w:rFonts w:hint="eastAsia" w:ascii="宋体" w:hAnsi="宋体" w:eastAsia="宋体" w:cs="宋体"/>
          <w:b/>
          <w:bCs/>
          <w:color w:val="auto"/>
          <w:sz w:val="24"/>
          <w:highlight w:val="none"/>
          <w:lang w:val="en-US" w:eastAsia="zh-CN"/>
        </w:rPr>
        <w:t>一</w:t>
      </w:r>
      <w:r>
        <w:rPr>
          <w:rFonts w:hint="eastAsia" w:ascii="宋体" w:hAnsi="宋体" w:eastAsia="宋体" w:cs="宋体"/>
          <w:b/>
          <w:bCs/>
          <w:color w:val="auto"/>
          <w:sz w:val="24"/>
          <w:highlight w:val="none"/>
        </w:rPr>
        <w:t>、破产终止合同</w:t>
      </w:r>
    </w:p>
    <w:p w14:paraId="71C2AD0A">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当乙方破产或无供货（或提供服务）能力时，甲方可在任何时候以书面形式通知乙方单方解除合同；并且该终止合同不损害或不影响甲方已采取或将采取补救措施的权利。</w:t>
      </w:r>
    </w:p>
    <w:p w14:paraId="494897E1">
      <w:pPr>
        <w:keepNext w:val="0"/>
        <w:keepLines w:val="0"/>
        <w:pageBreakBefore w:val="0"/>
        <w:kinsoku/>
        <w:wordWrap/>
        <w:topLinePunct w:val="0"/>
        <w:bidi w:val="0"/>
        <w:snapToGrid/>
        <w:spacing w:line="360" w:lineRule="auto"/>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十</w:t>
      </w:r>
      <w:r>
        <w:rPr>
          <w:rFonts w:hint="eastAsia" w:ascii="宋体" w:hAnsi="宋体" w:eastAsia="宋体" w:cs="宋体"/>
          <w:b/>
          <w:bCs/>
          <w:color w:val="auto"/>
          <w:sz w:val="24"/>
          <w:highlight w:val="none"/>
          <w:lang w:val="en-US" w:eastAsia="zh-CN"/>
        </w:rPr>
        <w:t>二</w:t>
      </w:r>
      <w:r>
        <w:rPr>
          <w:rFonts w:hint="eastAsia" w:ascii="宋体" w:hAnsi="宋体" w:eastAsia="宋体" w:cs="宋体"/>
          <w:b/>
          <w:bCs/>
          <w:color w:val="auto"/>
          <w:sz w:val="24"/>
          <w:highlight w:val="none"/>
        </w:rPr>
        <w:t>、转让</w:t>
      </w:r>
    </w:p>
    <w:p w14:paraId="38973583">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未经甲方事先书面同意，乙方不得部分转让或全部转让其应履行的合同义务。乙方擅自转让自身合同义务，甲方有权单方解除合同，并要求乙方赔偿因此产生的一切损失。</w:t>
      </w:r>
    </w:p>
    <w:p w14:paraId="4E9BAC6E">
      <w:pPr>
        <w:keepNext w:val="0"/>
        <w:keepLines w:val="0"/>
        <w:pageBreakBefore w:val="0"/>
        <w:kinsoku/>
        <w:wordWrap/>
        <w:topLinePunct w:val="0"/>
        <w:bidi w:val="0"/>
        <w:snapToGrid/>
        <w:spacing w:line="360" w:lineRule="auto"/>
        <w:textAlignment w:val="auto"/>
        <w:rPr>
          <w:rFonts w:hint="eastAsia" w:ascii="宋体" w:hAnsi="宋体" w:eastAsia="宋体" w:cs="宋体"/>
          <w:b/>
          <w:bCs/>
          <w:color w:val="auto"/>
          <w:sz w:val="24"/>
          <w:highlight w:val="none"/>
          <w:lang w:val="zh-CN"/>
        </w:rPr>
      </w:pPr>
      <w:r>
        <w:rPr>
          <w:rFonts w:hint="eastAsia" w:ascii="宋体" w:hAnsi="宋体" w:eastAsia="宋体" w:cs="宋体"/>
          <w:b/>
          <w:bCs/>
          <w:color w:val="auto"/>
          <w:sz w:val="24"/>
          <w:highlight w:val="none"/>
          <w:lang w:val="zh-CN"/>
        </w:rPr>
        <w:t>十</w:t>
      </w:r>
      <w:r>
        <w:rPr>
          <w:rFonts w:hint="eastAsia" w:ascii="宋体" w:hAnsi="宋体" w:eastAsia="宋体" w:cs="宋体"/>
          <w:b/>
          <w:bCs/>
          <w:color w:val="auto"/>
          <w:sz w:val="24"/>
          <w:highlight w:val="none"/>
          <w:lang w:val="en-US" w:eastAsia="zh-CN"/>
        </w:rPr>
        <w:t>三</w:t>
      </w:r>
      <w:r>
        <w:rPr>
          <w:rFonts w:hint="eastAsia" w:ascii="宋体" w:hAnsi="宋体" w:eastAsia="宋体" w:cs="宋体"/>
          <w:b/>
          <w:bCs/>
          <w:color w:val="auto"/>
          <w:sz w:val="24"/>
          <w:highlight w:val="none"/>
          <w:lang w:val="zh-CN"/>
        </w:rPr>
        <w:t>、违约责任</w:t>
      </w:r>
    </w:p>
    <w:p w14:paraId="28328DC9">
      <w:pPr>
        <w:pStyle w:val="7"/>
        <w:keepNext w:val="0"/>
        <w:keepLines w:val="0"/>
        <w:pageBreakBefore w:val="0"/>
        <w:widowControl w:val="0"/>
        <w:tabs>
          <w:tab w:val="left" w:pos="1134"/>
          <w:tab w:val="left" w:pos="1418"/>
        </w:tabs>
        <w:kinsoku/>
        <w:wordWrap/>
        <w:topLinePunct w:val="0"/>
        <w:bidi w:val="0"/>
        <w:adjustRightInd w:val="0"/>
        <w:snapToGrid/>
        <w:spacing w:line="360" w:lineRule="auto"/>
        <w:ind w:left="0" w:firstLine="48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1.按《中华人民共和国民法典》中的相关条款执行。</w:t>
      </w:r>
    </w:p>
    <w:p w14:paraId="35E52D9F">
      <w:pPr>
        <w:pStyle w:val="7"/>
        <w:keepNext w:val="0"/>
        <w:keepLines w:val="0"/>
        <w:pageBreakBefore w:val="0"/>
        <w:widowControl w:val="0"/>
        <w:tabs>
          <w:tab w:val="left" w:pos="1134"/>
          <w:tab w:val="left" w:pos="1418"/>
        </w:tabs>
        <w:kinsoku/>
        <w:wordWrap/>
        <w:topLinePunct w:val="0"/>
        <w:bidi w:val="0"/>
        <w:adjustRightInd w:val="0"/>
        <w:snapToGrid/>
        <w:spacing w:line="360" w:lineRule="auto"/>
        <w:ind w:left="0" w:firstLine="48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2.未按合同或</w:t>
      </w:r>
      <w:r>
        <w:rPr>
          <w:rFonts w:hint="eastAsia" w:ascii="宋体" w:hAnsi="宋体" w:cs="宋体"/>
          <w:color w:val="auto"/>
          <w:highlight w:val="none"/>
          <w:lang w:eastAsia="zh-CN"/>
        </w:rPr>
        <w:t>磋商文件</w:t>
      </w:r>
      <w:r>
        <w:rPr>
          <w:rFonts w:hint="eastAsia" w:ascii="宋体" w:hAnsi="宋体" w:eastAsia="宋体" w:cs="宋体"/>
          <w:color w:val="auto"/>
          <w:highlight w:val="none"/>
          <w:lang w:eastAsia="zh-CN"/>
        </w:rPr>
        <w:t>要求提供服务，质量不能满足采购方技术要求，采购单位有权终止合同，甚至对供方违约行为进行追究。</w:t>
      </w:r>
    </w:p>
    <w:p w14:paraId="3F0C4ABD">
      <w:pPr>
        <w:pStyle w:val="7"/>
        <w:keepNext w:val="0"/>
        <w:keepLines w:val="0"/>
        <w:pageBreakBefore w:val="0"/>
        <w:widowControl w:val="0"/>
        <w:tabs>
          <w:tab w:val="left" w:pos="1134"/>
          <w:tab w:val="left" w:pos="1418"/>
        </w:tabs>
        <w:kinsoku/>
        <w:wordWrap/>
        <w:topLinePunct w:val="0"/>
        <w:bidi w:val="0"/>
        <w:adjustRightInd w:val="0"/>
        <w:snapToGrid/>
        <w:spacing w:line="360" w:lineRule="auto"/>
        <w:ind w:left="0" w:firstLine="48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3.乙方由于自身过错，延误按本合同规定的服务成果交付时间，每延误一天，应减收本合同总额的2‰作为延误违约金。</w:t>
      </w:r>
    </w:p>
    <w:p w14:paraId="0D8019AE">
      <w:pPr>
        <w:keepNext w:val="0"/>
        <w:keepLines w:val="0"/>
        <w:pageBreakBefore w:val="0"/>
        <w:kinsoku/>
        <w:wordWrap/>
        <w:topLinePunct w:val="0"/>
        <w:bidi w:val="0"/>
        <w:snapToGrid/>
        <w:spacing w:line="360" w:lineRule="auto"/>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十</w:t>
      </w:r>
      <w:r>
        <w:rPr>
          <w:rFonts w:hint="eastAsia" w:ascii="宋体" w:hAnsi="宋体" w:eastAsia="宋体" w:cs="宋体"/>
          <w:b/>
          <w:bCs/>
          <w:color w:val="auto"/>
          <w:sz w:val="24"/>
          <w:highlight w:val="none"/>
          <w:lang w:val="en-US" w:eastAsia="zh-CN"/>
        </w:rPr>
        <w:t>四</w:t>
      </w:r>
      <w:r>
        <w:rPr>
          <w:rFonts w:hint="eastAsia" w:ascii="宋体" w:hAnsi="宋体" w:eastAsia="宋体" w:cs="宋体"/>
          <w:b/>
          <w:bCs/>
          <w:color w:val="auto"/>
          <w:sz w:val="24"/>
          <w:highlight w:val="none"/>
        </w:rPr>
        <w:t>、合同争议和解决办法</w:t>
      </w:r>
    </w:p>
    <w:p w14:paraId="31A65539">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cs="宋体"/>
          <w:bCs/>
          <w:color w:val="auto"/>
          <w:sz w:val="24"/>
          <w:highlight w:val="none"/>
        </w:rPr>
        <w:t>因本合同产生纠纷，如协商无法解决，双方均有权向有管辖权的人民法院提起诉讼。</w:t>
      </w:r>
    </w:p>
    <w:p w14:paraId="7437A4F3">
      <w:pPr>
        <w:autoSpaceDE w:val="0"/>
        <w:autoSpaceDN w:val="0"/>
        <w:adjustRightInd w:val="0"/>
        <w:spacing w:line="360" w:lineRule="auto"/>
        <w:rPr>
          <w:rFonts w:ascii="宋体"/>
          <w:b/>
          <w:bCs/>
          <w:sz w:val="24"/>
          <w:highlight w:val="none"/>
        </w:rPr>
      </w:pPr>
      <w:r>
        <w:rPr>
          <w:rFonts w:hint="eastAsia" w:ascii="宋体" w:hAnsi="宋体" w:cs="宋体"/>
          <w:b/>
          <w:bCs/>
          <w:sz w:val="24"/>
          <w:highlight w:val="none"/>
        </w:rPr>
        <w:t>十</w:t>
      </w:r>
      <w:r>
        <w:rPr>
          <w:rFonts w:hint="eastAsia" w:ascii="宋体" w:hAnsi="宋体" w:cs="宋体"/>
          <w:b/>
          <w:bCs/>
          <w:sz w:val="24"/>
          <w:highlight w:val="none"/>
          <w:lang w:eastAsia="zh-CN"/>
        </w:rPr>
        <w:t>五</w:t>
      </w:r>
      <w:r>
        <w:rPr>
          <w:rFonts w:hint="eastAsia" w:ascii="宋体" w:hAnsi="宋体" w:cs="宋体"/>
          <w:b/>
          <w:bCs/>
          <w:sz w:val="24"/>
          <w:highlight w:val="none"/>
        </w:rPr>
        <w:t>、合同生效</w:t>
      </w:r>
    </w:p>
    <w:p w14:paraId="1D4B2BB8">
      <w:pPr>
        <w:keepNext w:val="0"/>
        <w:keepLines w:val="0"/>
        <w:pageBreakBefore w:val="0"/>
        <w:widowControl w:val="0"/>
        <w:kinsoku/>
        <w:wordWrap/>
        <w:overflowPunct/>
        <w:topLinePunct w:val="0"/>
        <w:bidi w:val="0"/>
        <w:adjustRightInd/>
        <w:ind w:firstLine="480" w:firstLineChars="200"/>
        <w:textAlignment w:val="auto"/>
        <w:rPr>
          <w:rFonts w:hint="eastAsia" w:ascii="宋体" w:hAnsi="宋体" w:cs="宋体"/>
          <w:sz w:val="24"/>
        </w:rPr>
      </w:pPr>
      <w:r>
        <w:rPr>
          <w:rFonts w:hint="eastAsia" w:ascii="宋体" w:hAnsi="宋体" w:cs="宋体"/>
          <w:sz w:val="24"/>
          <w:highlight w:val="none"/>
          <w:lang w:val="en-US" w:eastAsia="zh-CN"/>
        </w:rPr>
        <w:t>1.</w:t>
      </w:r>
      <w:r>
        <w:rPr>
          <w:rFonts w:hint="eastAsia" w:ascii="宋体" w:hAnsi="宋体" w:cs="宋体"/>
          <w:sz w:val="24"/>
          <w:highlight w:val="none"/>
        </w:rPr>
        <w:t>本合同须经甲、乙双方的法定代表人（委托代理人）在合同书上签字并加盖本单位公章后正式生效。</w:t>
      </w:r>
    </w:p>
    <w:p w14:paraId="658797BB">
      <w:pPr>
        <w:keepNext w:val="0"/>
        <w:keepLines w:val="0"/>
        <w:pageBreakBefore w:val="0"/>
        <w:widowControl w:val="0"/>
        <w:kinsoku/>
        <w:wordWrap/>
        <w:overflowPunct/>
        <w:topLinePunct w:val="0"/>
        <w:autoSpaceDE w:val="0"/>
        <w:autoSpaceDN w:val="0"/>
        <w:bidi w:val="0"/>
        <w:adjustRightInd/>
        <w:spacing w:line="360" w:lineRule="auto"/>
        <w:ind w:firstLine="480" w:firstLineChars="200"/>
        <w:textAlignment w:val="auto"/>
        <w:rPr>
          <w:rFonts w:ascii="宋体"/>
          <w:sz w:val="24"/>
        </w:rPr>
      </w:pPr>
      <w:r>
        <w:rPr>
          <w:rFonts w:hint="eastAsia" w:ascii="宋体" w:hAnsi="宋体" w:cs="宋体"/>
          <w:sz w:val="24"/>
          <w:lang w:val="en-US" w:eastAsia="zh-CN"/>
        </w:rPr>
        <w:t>2.</w:t>
      </w:r>
      <w:r>
        <w:rPr>
          <w:rFonts w:hint="eastAsia" w:ascii="宋体" w:hAnsi="宋体" w:cs="宋体"/>
          <w:sz w:val="24"/>
        </w:rPr>
        <w:t>合同生效后，甲、乙双方须严格执行本合同条款的规定，全面履行合同，违者按《中华人民共和国民法典》的有关规定承担相应责任。</w:t>
      </w:r>
    </w:p>
    <w:p w14:paraId="565DF70C">
      <w:pPr>
        <w:keepNext w:val="0"/>
        <w:keepLines w:val="0"/>
        <w:pageBreakBefore w:val="0"/>
        <w:widowControl w:val="0"/>
        <w:kinsoku/>
        <w:wordWrap/>
        <w:overflowPunct/>
        <w:topLinePunct w:val="0"/>
        <w:autoSpaceDE w:val="0"/>
        <w:autoSpaceDN w:val="0"/>
        <w:bidi w:val="0"/>
        <w:adjustRightInd/>
        <w:spacing w:line="360" w:lineRule="auto"/>
        <w:ind w:firstLine="480" w:firstLineChars="200"/>
        <w:textAlignment w:val="auto"/>
        <w:rPr>
          <w:rFonts w:ascii="宋体"/>
          <w:sz w:val="24"/>
        </w:rPr>
      </w:pPr>
      <w:r>
        <w:rPr>
          <w:rFonts w:hint="eastAsia" w:ascii="宋体" w:hAnsi="宋体" w:cs="宋体"/>
          <w:sz w:val="24"/>
          <w:lang w:val="en-US" w:eastAsia="zh-CN"/>
        </w:rPr>
        <w:t>3.</w:t>
      </w:r>
      <w:r>
        <w:rPr>
          <w:rFonts w:hint="eastAsia" w:ascii="宋体" w:hAnsi="宋体" w:cs="宋体"/>
          <w:sz w:val="24"/>
        </w:rPr>
        <w:t>本合同一式</w:t>
      </w:r>
      <w:r>
        <w:rPr>
          <w:rFonts w:hint="eastAsia" w:ascii="宋体" w:hAnsi="宋体" w:cs="宋体"/>
          <w:sz w:val="24"/>
          <w:u w:val="single"/>
        </w:rPr>
        <w:t xml:space="preserve">   </w:t>
      </w:r>
      <w:r>
        <w:rPr>
          <w:rFonts w:hint="eastAsia" w:ascii="宋体" w:hAnsi="宋体" w:cs="宋体"/>
          <w:sz w:val="24"/>
        </w:rPr>
        <w:t>份，甲乙双方各执</w:t>
      </w:r>
      <w:r>
        <w:rPr>
          <w:rFonts w:hint="eastAsia" w:ascii="宋体" w:hAnsi="宋体" w:cs="宋体"/>
          <w:sz w:val="24"/>
          <w:u w:val="single"/>
        </w:rPr>
        <w:t xml:space="preserve">   </w:t>
      </w:r>
      <w:r>
        <w:rPr>
          <w:rFonts w:hint="eastAsia" w:ascii="宋体" w:hAnsi="宋体" w:cs="宋体"/>
          <w:sz w:val="24"/>
        </w:rPr>
        <w:t>份。</w:t>
      </w:r>
    </w:p>
    <w:p w14:paraId="26F4677F">
      <w:pPr>
        <w:keepNext w:val="0"/>
        <w:keepLines w:val="0"/>
        <w:pageBreakBefore w:val="0"/>
        <w:widowControl w:val="0"/>
        <w:kinsoku/>
        <w:wordWrap/>
        <w:overflowPunct/>
        <w:topLinePunct w:val="0"/>
        <w:bidi w:val="0"/>
        <w:adjustRightInd/>
        <w:snapToGrid w:val="0"/>
        <w:spacing w:line="360" w:lineRule="auto"/>
        <w:ind w:firstLine="480" w:firstLineChars="200"/>
        <w:textAlignment w:val="auto"/>
        <w:rPr>
          <w:rFonts w:ascii="宋体"/>
          <w:sz w:val="24"/>
        </w:rPr>
      </w:pPr>
      <w:r>
        <w:rPr>
          <w:rFonts w:hint="eastAsia" w:ascii="宋体" w:hAnsi="宋体" w:cs="宋体"/>
          <w:sz w:val="24"/>
          <w:lang w:val="en-US" w:eastAsia="zh-CN"/>
        </w:rPr>
        <w:t>4.</w:t>
      </w:r>
      <w:r>
        <w:rPr>
          <w:rFonts w:hint="eastAsia" w:ascii="宋体" w:hAnsi="宋体" w:cs="宋体"/>
          <w:sz w:val="24"/>
        </w:rPr>
        <w:t>本合同如有未尽事宜，甲、乙双方协商解决。</w:t>
      </w:r>
    </w:p>
    <w:p w14:paraId="390D8F1E">
      <w:pPr>
        <w:rPr>
          <w:rFonts w:hint="eastAsia" w:ascii="宋体" w:hAnsi="宋体" w:cs="宋体"/>
          <w:b/>
          <w:bCs/>
          <w:color w:val="000000"/>
          <w:sz w:val="36"/>
          <w:szCs w:val="36"/>
        </w:rPr>
      </w:pPr>
    </w:p>
    <w:tbl>
      <w:tblPr>
        <w:tblStyle w:val="5"/>
        <w:tblpPr w:leftFromText="180" w:rightFromText="180" w:vertAnchor="text" w:horzAnchor="page" w:tblpX="1937" w:tblpY="99"/>
        <w:tblOverlap w:val="never"/>
        <w:tblW w:w="8403" w:type="dxa"/>
        <w:tblInd w:w="0" w:type="dxa"/>
        <w:tblLayout w:type="fixed"/>
        <w:tblCellMar>
          <w:top w:w="0" w:type="dxa"/>
          <w:left w:w="108" w:type="dxa"/>
          <w:bottom w:w="0" w:type="dxa"/>
          <w:right w:w="108" w:type="dxa"/>
        </w:tblCellMar>
      </w:tblPr>
      <w:tblGrid>
        <w:gridCol w:w="4201"/>
        <w:gridCol w:w="4202"/>
      </w:tblGrid>
      <w:tr w14:paraId="3D701572">
        <w:tblPrEx>
          <w:tblCellMar>
            <w:top w:w="0" w:type="dxa"/>
            <w:left w:w="108" w:type="dxa"/>
            <w:bottom w:w="0" w:type="dxa"/>
            <w:right w:w="108" w:type="dxa"/>
          </w:tblCellMar>
        </w:tblPrEx>
        <w:trPr>
          <w:trHeight w:val="454" w:hRule="atLeast"/>
        </w:trPr>
        <w:tc>
          <w:tcPr>
            <w:tcW w:w="4201" w:type="dxa"/>
            <w:noWrap w:val="0"/>
            <w:vAlign w:val="center"/>
          </w:tcPr>
          <w:p w14:paraId="3228DCB0">
            <w:pPr>
              <w:spacing w:line="240" w:lineRule="auto"/>
              <w:ind w:firstLine="480" w:firstLineChars="200"/>
              <w:rPr>
                <w:rFonts w:ascii="宋体"/>
                <w:sz w:val="24"/>
              </w:rPr>
            </w:pPr>
            <w:r>
              <w:rPr>
                <w:rFonts w:hint="eastAsia" w:ascii="宋体" w:hAnsi="宋体" w:cs="宋体"/>
                <w:sz w:val="24"/>
              </w:rPr>
              <w:t>甲</w:t>
            </w:r>
            <w:r>
              <w:rPr>
                <w:rFonts w:ascii="宋体" w:hAnsi="宋体" w:cs="宋体"/>
                <w:sz w:val="24"/>
              </w:rPr>
              <w:t xml:space="preserve">  </w:t>
            </w:r>
            <w:r>
              <w:rPr>
                <w:rFonts w:hint="eastAsia" w:ascii="宋体" w:hAnsi="宋体" w:cs="宋体"/>
                <w:sz w:val="24"/>
              </w:rPr>
              <w:t>方</w:t>
            </w:r>
          </w:p>
        </w:tc>
        <w:tc>
          <w:tcPr>
            <w:tcW w:w="4202" w:type="dxa"/>
            <w:noWrap w:val="0"/>
            <w:vAlign w:val="center"/>
          </w:tcPr>
          <w:p w14:paraId="66713DAE">
            <w:pPr>
              <w:spacing w:line="240" w:lineRule="auto"/>
              <w:ind w:firstLine="480" w:firstLineChars="200"/>
              <w:rPr>
                <w:rFonts w:ascii="宋体"/>
                <w:sz w:val="24"/>
              </w:rPr>
            </w:pPr>
            <w:r>
              <w:rPr>
                <w:rFonts w:hint="eastAsia" w:ascii="宋体" w:hAnsi="宋体" w:cs="宋体"/>
                <w:sz w:val="24"/>
              </w:rPr>
              <w:t>乙</w:t>
            </w:r>
            <w:r>
              <w:rPr>
                <w:rFonts w:ascii="宋体" w:hAnsi="宋体" w:cs="宋体"/>
                <w:sz w:val="24"/>
              </w:rPr>
              <w:t xml:space="preserve">  </w:t>
            </w:r>
            <w:r>
              <w:rPr>
                <w:rFonts w:hint="eastAsia" w:ascii="宋体" w:hAnsi="宋体" w:cs="宋体"/>
                <w:sz w:val="24"/>
              </w:rPr>
              <w:t>方</w:t>
            </w:r>
          </w:p>
        </w:tc>
      </w:tr>
      <w:tr w14:paraId="437BCA04">
        <w:tblPrEx>
          <w:tblCellMar>
            <w:top w:w="0" w:type="dxa"/>
            <w:left w:w="108" w:type="dxa"/>
            <w:bottom w:w="0" w:type="dxa"/>
            <w:right w:w="108" w:type="dxa"/>
          </w:tblCellMar>
        </w:tblPrEx>
        <w:trPr>
          <w:trHeight w:val="454" w:hRule="atLeast"/>
        </w:trPr>
        <w:tc>
          <w:tcPr>
            <w:tcW w:w="4201" w:type="dxa"/>
            <w:noWrap w:val="0"/>
            <w:vAlign w:val="center"/>
          </w:tcPr>
          <w:p w14:paraId="5FD6BE00">
            <w:pPr>
              <w:spacing w:line="240" w:lineRule="auto"/>
              <w:ind w:firstLine="480" w:firstLineChars="200"/>
              <w:rPr>
                <w:rFonts w:ascii="宋体"/>
                <w:sz w:val="24"/>
              </w:rPr>
            </w:pPr>
            <w:r>
              <w:rPr>
                <w:rFonts w:hint="eastAsia" w:ascii="宋体" w:hAnsi="宋体" w:cs="宋体"/>
                <w:sz w:val="24"/>
              </w:rPr>
              <w:t>（盖章）</w:t>
            </w:r>
          </w:p>
        </w:tc>
        <w:tc>
          <w:tcPr>
            <w:tcW w:w="4202" w:type="dxa"/>
            <w:noWrap w:val="0"/>
            <w:vAlign w:val="center"/>
          </w:tcPr>
          <w:p w14:paraId="04BBD661">
            <w:pPr>
              <w:spacing w:line="240" w:lineRule="auto"/>
              <w:ind w:firstLine="480" w:firstLineChars="200"/>
              <w:rPr>
                <w:rFonts w:ascii="宋体"/>
                <w:sz w:val="24"/>
              </w:rPr>
            </w:pPr>
            <w:r>
              <w:rPr>
                <w:rFonts w:hint="eastAsia" w:ascii="宋体" w:hAnsi="宋体" w:cs="宋体"/>
                <w:sz w:val="24"/>
              </w:rPr>
              <w:t>（盖章）</w:t>
            </w:r>
          </w:p>
        </w:tc>
      </w:tr>
      <w:tr w14:paraId="65886C7B">
        <w:tblPrEx>
          <w:tblCellMar>
            <w:top w:w="0" w:type="dxa"/>
            <w:left w:w="108" w:type="dxa"/>
            <w:bottom w:w="0" w:type="dxa"/>
            <w:right w:w="108" w:type="dxa"/>
          </w:tblCellMar>
        </w:tblPrEx>
        <w:trPr>
          <w:trHeight w:val="454" w:hRule="atLeast"/>
        </w:trPr>
        <w:tc>
          <w:tcPr>
            <w:tcW w:w="4201" w:type="dxa"/>
            <w:noWrap w:val="0"/>
            <w:vAlign w:val="center"/>
          </w:tcPr>
          <w:p w14:paraId="7865133A">
            <w:pPr>
              <w:spacing w:line="240" w:lineRule="auto"/>
              <w:ind w:firstLine="480" w:firstLineChars="200"/>
              <w:rPr>
                <w:rFonts w:ascii="宋体" w:hAnsi="宋体" w:cs="宋体"/>
                <w:sz w:val="24"/>
              </w:rPr>
            </w:pPr>
            <w:r>
              <w:rPr>
                <w:rFonts w:hint="eastAsia" w:ascii="宋体" w:hAnsi="宋体" w:cs="宋体"/>
                <w:sz w:val="24"/>
              </w:rPr>
              <w:t>地址：</w:t>
            </w:r>
            <w:r>
              <w:rPr>
                <w:rFonts w:ascii="宋体" w:hAnsi="宋体" w:cs="宋体"/>
                <w:sz w:val="24"/>
              </w:rPr>
              <w:t xml:space="preserve"> </w:t>
            </w:r>
          </w:p>
        </w:tc>
        <w:tc>
          <w:tcPr>
            <w:tcW w:w="4202" w:type="dxa"/>
            <w:noWrap w:val="0"/>
            <w:vAlign w:val="center"/>
          </w:tcPr>
          <w:p w14:paraId="60C9D5AC">
            <w:pPr>
              <w:spacing w:line="240" w:lineRule="auto"/>
              <w:ind w:firstLine="480" w:firstLineChars="200"/>
              <w:rPr>
                <w:rFonts w:ascii="宋体"/>
                <w:sz w:val="24"/>
              </w:rPr>
            </w:pPr>
            <w:r>
              <w:rPr>
                <w:rFonts w:hint="eastAsia" w:ascii="宋体" w:hAnsi="宋体" w:cs="宋体"/>
                <w:sz w:val="24"/>
              </w:rPr>
              <w:t>地址：</w:t>
            </w:r>
          </w:p>
        </w:tc>
      </w:tr>
      <w:tr w14:paraId="09E4C873">
        <w:tblPrEx>
          <w:tblCellMar>
            <w:top w:w="0" w:type="dxa"/>
            <w:left w:w="108" w:type="dxa"/>
            <w:bottom w:w="0" w:type="dxa"/>
            <w:right w:w="108" w:type="dxa"/>
          </w:tblCellMar>
        </w:tblPrEx>
        <w:trPr>
          <w:trHeight w:val="454" w:hRule="atLeast"/>
        </w:trPr>
        <w:tc>
          <w:tcPr>
            <w:tcW w:w="4201" w:type="dxa"/>
            <w:noWrap w:val="0"/>
            <w:vAlign w:val="center"/>
          </w:tcPr>
          <w:p w14:paraId="66DC4279">
            <w:pPr>
              <w:spacing w:line="240" w:lineRule="auto"/>
              <w:ind w:firstLine="480" w:firstLineChars="200"/>
              <w:rPr>
                <w:rFonts w:ascii="宋体"/>
                <w:sz w:val="24"/>
              </w:rPr>
            </w:pPr>
            <w:r>
              <w:rPr>
                <w:rFonts w:hint="eastAsia" w:ascii="宋体" w:hAnsi="宋体" w:cs="宋体"/>
                <w:sz w:val="24"/>
              </w:rPr>
              <w:t>邮编：</w:t>
            </w:r>
          </w:p>
        </w:tc>
        <w:tc>
          <w:tcPr>
            <w:tcW w:w="4202" w:type="dxa"/>
            <w:noWrap w:val="0"/>
            <w:vAlign w:val="center"/>
          </w:tcPr>
          <w:p w14:paraId="2902BBB0">
            <w:pPr>
              <w:spacing w:line="240" w:lineRule="auto"/>
              <w:ind w:firstLine="480" w:firstLineChars="200"/>
              <w:rPr>
                <w:rFonts w:ascii="宋体"/>
                <w:sz w:val="24"/>
              </w:rPr>
            </w:pPr>
            <w:r>
              <w:rPr>
                <w:rFonts w:hint="eastAsia" w:ascii="宋体" w:hAnsi="宋体" w:cs="宋体"/>
                <w:sz w:val="24"/>
              </w:rPr>
              <w:t>邮编：</w:t>
            </w:r>
          </w:p>
        </w:tc>
      </w:tr>
      <w:tr w14:paraId="16870BE8">
        <w:tblPrEx>
          <w:tblCellMar>
            <w:top w:w="0" w:type="dxa"/>
            <w:left w:w="108" w:type="dxa"/>
            <w:bottom w:w="0" w:type="dxa"/>
            <w:right w:w="108" w:type="dxa"/>
          </w:tblCellMar>
        </w:tblPrEx>
        <w:trPr>
          <w:trHeight w:val="454" w:hRule="atLeast"/>
        </w:trPr>
        <w:tc>
          <w:tcPr>
            <w:tcW w:w="4201" w:type="dxa"/>
            <w:noWrap w:val="0"/>
            <w:vAlign w:val="center"/>
          </w:tcPr>
          <w:p w14:paraId="4C02BB6F">
            <w:pPr>
              <w:spacing w:line="240" w:lineRule="auto"/>
              <w:ind w:firstLine="480" w:firstLineChars="200"/>
              <w:rPr>
                <w:rFonts w:ascii="宋体" w:hAnsi="宋体" w:cs="宋体"/>
                <w:sz w:val="24"/>
              </w:rPr>
            </w:pPr>
            <w:r>
              <w:rPr>
                <w:rFonts w:hint="eastAsia" w:ascii="宋体" w:hAnsi="宋体" w:cs="宋体"/>
                <w:sz w:val="24"/>
              </w:rPr>
              <w:t>法定代表人：</w:t>
            </w:r>
            <w:r>
              <w:rPr>
                <w:rFonts w:ascii="宋体" w:hAnsi="宋体" w:cs="宋体"/>
                <w:sz w:val="24"/>
              </w:rPr>
              <w:t xml:space="preserve"> </w:t>
            </w:r>
          </w:p>
        </w:tc>
        <w:tc>
          <w:tcPr>
            <w:tcW w:w="4202" w:type="dxa"/>
            <w:noWrap w:val="0"/>
            <w:vAlign w:val="center"/>
          </w:tcPr>
          <w:p w14:paraId="432B36EA">
            <w:pPr>
              <w:spacing w:line="240" w:lineRule="auto"/>
              <w:ind w:firstLine="480" w:firstLineChars="200"/>
              <w:rPr>
                <w:rFonts w:ascii="宋体"/>
                <w:sz w:val="24"/>
              </w:rPr>
            </w:pPr>
            <w:r>
              <w:rPr>
                <w:rFonts w:hint="eastAsia" w:ascii="宋体" w:hAnsi="宋体" w:cs="宋体"/>
                <w:sz w:val="24"/>
              </w:rPr>
              <w:t>法定代表人：</w:t>
            </w:r>
          </w:p>
        </w:tc>
      </w:tr>
      <w:tr w14:paraId="27A9F99D">
        <w:tblPrEx>
          <w:tblCellMar>
            <w:top w:w="0" w:type="dxa"/>
            <w:left w:w="108" w:type="dxa"/>
            <w:bottom w:w="0" w:type="dxa"/>
            <w:right w:w="108" w:type="dxa"/>
          </w:tblCellMar>
        </w:tblPrEx>
        <w:trPr>
          <w:trHeight w:val="454" w:hRule="atLeast"/>
        </w:trPr>
        <w:tc>
          <w:tcPr>
            <w:tcW w:w="4201" w:type="dxa"/>
            <w:noWrap w:val="0"/>
            <w:vAlign w:val="center"/>
          </w:tcPr>
          <w:p w14:paraId="1E8988AD">
            <w:pPr>
              <w:spacing w:line="240" w:lineRule="auto"/>
              <w:ind w:firstLine="480" w:firstLineChars="200"/>
              <w:rPr>
                <w:rFonts w:ascii="宋体"/>
                <w:sz w:val="24"/>
              </w:rPr>
            </w:pPr>
            <w:r>
              <w:rPr>
                <w:rFonts w:hint="eastAsia" w:ascii="宋体" w:hAnsi="宋体" w:cs="宋体"/>
                <w:sz w:val="24"/>
              </w:rPr>
              <w:t>委托代理人：</w:t>
            </w:r>
          </w:p>
        </w:tc>
        <w:tc>
          <w:tcPr>
            <w:tcW w:w="4202" w:type="dxa"/>
            <w:noWrap w:val="0"/>
            <w:vAlign w:val="center"/>
          </w:tcPr>
          <w:p w14:paraId="429E04A5">
            <w:pPr>
              <w:spacing w:line="240" w:lineRule="auto"/>
              <w:ind w:firstLine="480" w:firstLineChars="200"/>
              <w:rPr>
                <w:rFonts w:ascii="宋体"/>
                <w:sz w:val="24"/>
              </w:rPr>
            </w:pPr>
            <w:r>
              <w:rPr>
                <w:rFonts w:hint="eastAsia" w:ascii="宋体" w:hAnsi="宋体" w:cs="宋体"/>
                <w:sz w:val="24"/>
              </w:rPr>
              <w:t>委托代理人：</w:t>
            </w:r>
          </w:p>
        </w:tc>
      </w:tr>
      <w:tr w14:paraId="12DB6951">
        <w:tblPrEx>
          <w:tblCellMar>
            <w:top w:w="0" w:type="dxa"/>
            <w:left w:w="108" w:type="dxa"/>
            <w:bottom w:w="0" w:type="dxa"/>
            <w:right w:w="108" w:type="dxa"/>
          </w:tblCellMar>
        </w:tblPrEx>
        <w:trPr>
          <w:trHeight w:val="454" w:hRule="atLeast"/>
        </w:trPr>
        <w:tc>
          <w:tcPr>
            <w:tcW w:w="4201" w:type="dxa"/>
            <w:noWrap w:val="0"/>
            <w:vAlign w:val="center"/>
          </w:tcPr>
          <w:p w14:paraId="3E8281BD">
            <w:pPr>
              <w:spacing w:line="240" w:lineRule="auto"/>
              <w:ind w:firstLine="480" w:firstLineChars="200"/>
              <w:rPr>
                <w:rFonts w:ascii="宋体"/>
                <w:sz w:val="24"/>
              </w:rPr>
            </w:pPr>
            <w:r>
              <w:rPr>
                <w:rFonts w:hint="eastAsia" w:ascii="宋体" w:hAnsi="宋体" w:cs="宋体"/>
                <w:sz w:val="24"/>
              </w:rPr>
              <w:t>电话：</w:t>
            </w:r>
          </w:p>
        </w:tc>
        <w:tc>
          <w:tcPr>
            <w:tcW w:w="4202" w:type="dxa"/>
            <w:noWrap w:val="0"/>
            <w:vAlign w:val="center"/>
          </w:tcPr>
          <w:p w14:paraId="47DC7C23">
            <w:pPr>
              <w:spacing w:line="240" w:lineRule="auto"/>
              <w:ind w:firstLine="480" w:firstLineChars="200"/>
              <w:rPr>
                <w:rFonts w:ascii="宋体"/>
                <w:sz w:val="24"/>
              </w:rPr>
            </w:pPr>
            <w:r>
              <w:rPr>
                <w:rFonts w:hint="eastAsia" w:ascii="宋体" w:hAnsi="宋体" w:cs="宋体"/>
                <w:sz w:val="24"/>
              </w:rPr>
              <w:t>电话：</w:t>
            </w:r>
          </w:p>
        </w:tc>
      </w:tr>
      <w:tr w14:paraId="58E6A056">
        <w:tblPrEx>
          <w:tblCellMar>
            <w:top w:w="0" w:type="dxa"/>
            <w:left w:w="108" w:type="dxa"/>
            <w:bottom w:w="0" w:type="dxa"/>
            <w:right w:w="108" w:type="dxa"/>
          </w:tblCellMar>
        </w:tblPrEx>
        <w:trPr>
          <w:trHeight w:val="454" w:hRule="atLeast"/>
        </w:trPr>
        <w:tc>
          <w:tcPr>
            <w:tcW w:w="4201" w:type="dxa"/>
            <w:noWrap w:val="0"/>
            <w:vAlign w:val="center"/>
          </w:tcPr>
          <w:p w14:paraId="0CD3F679">
            <w:pPr>
              <w:spacing w:line="240" w:lineRule="auto"/>
              <w:ind w:firstLine="480" w:firstLineChars="200"/>
              <w:rPr>
                <w:rFonts w:ascii="宋体"/>
                <w:sz w:val="24"/>
              </w:rPr>
            </w:pPr>
            <w:r>
              <w:rPr>
                <w:rFonts w:hint="eastAsia" w:ascii="宋体" w:hAnsi="宋体" w:cs="宋体"/>
                <w:sz w:val="24"/>
              </w:rPr>
              <w:t>传真：</w:t>
            </w:r>
          </w:p>
        </w:tc>
        <w:tc>
          <w:tcPr>
            <w:tcW w:w="4202" w:type="dxa"/>
            <w:noWrap w:val="0"/>
            <w:vAlign w:val="center"/>
          </w:tcPr>
          <w:p w14:paraId="181201FA">
            <w:pPr>
              <w:spacing w:line="240" w:lineRule="auto"/>
              <w:ind w:firstLine="480" w:firstLineChars="200"/>
              <w:rPr>
                <w:rFonts w:ascii="宋体"/>
                <w:sz w:val="24"/>
              </w:rPr>
            </w:pPr>
            <w:r>
              <w:rPr>
                <w:rFonts w:hint="eastAsia" w:ascii="宋体" w:hAnsi="宋体" w:cs="宋体"/>
                <w:sz w:val="24"/>
              </w:rPr>
              <w:t>传真：</w:t>
            </w:r>
          </w:p>
        </w:tc>
      </w:tr>
      <w:tr w14:paraId="60F75A3A">
        <w:tblPrEx>
          <w:tblCellMar>
            <w:top w:w="0" w:type="dxa"/>
            <w:left w:w="108" w:type="dxa"/>
            <w:bottom w:w="0" w:type="dxa"/>
            <w:right w:w="108" w:type="dxa"/>
          </w:tblCellMar>
        </w:tblPrEx>
        <w:trPr>
          <w:trHeight w:val="454" w:hRule="atLeast"/>
        </w:trPr>
        <w:tc>
          <w:tcPr>
            <w:tcW w:w="4201" w:type="dxa"/>
            <w:noWrap w:val="0"/>
            <w:vAlign w:val="center"/>
          </w:tcPr>
          <w:p w14:paraId="0D49FF39">
            <w:pPr>
              <w:spacing w:line="240" w:lineRule="auto"/>
              <w:ind w:firstLine="480" w:firstLineChars="200"/>
              <w:rPr>
                <w:rFonts w:ascii="宋体"/>
                <w:sz w:val="24"/>
              </w:rPr>
            </w:pPr>
            <w:r>
              <w:rPr>
                <w:rFonts w:hint="eastAsia" w:ascii="宋体" w:hAnsi="宋体" w:cs="宋体"/>
                <w:sz w:val="24"/>
              </w:rPr>
              <w:t>开户银行：</w:t>
            </w:r>
          </w:p>
        </w:tc>
        <w:tc>
          <w:tcPr>
            <w:tcW w:w="4202" w:type="dxa"/>
            <w:noWrap w:val="0"/>
            <w:vAlign w:val="center"/>
          </w:tcPr>
          <w:p w14:paraId="4E8D0329">
            <w:pPr>
              <w:spacing w:line="240" w:lineRule="auto"/>
              <w:ind w:firstLine="480" w:firstLineChars="200"/>
              <w:rPr>
                <w:rFonts w:ascii="宋体"/>
                <w:sz w:val="24"/>
              </w:rPr>
            </w:pPr>
            <w:r>
              <w:rPr>
                <w:rFonts w:hint="eastAsia" w:ascii="宋体" w:hAnsi="宋体" w:cs="宋体"/>
                <w:sz w:val="24"/>
              </w:rPr>
              <w:t>开户银行：</w:t>
            </w:r>
          </w:p>
        </w:tc>
      </w:tr>
      <w:tr w14:paraId="00FFFB81">
        <w:tblPrEx>
          <w:tblCellMar>
            <w:top w:w="0" w:type="dxa"/>
            <w:left w:w="108" w:type="dxa"/>
            <w:bottom w:w="0" w:type="dxa"/>
            <w:right w:w="108" w:type="dxa"/>
          </w:tblCellMar>
        </w:tblPrEx>
        <w:trPr>
          <w:trHeight w:val="454" w:hRule="atLeast"/>
        </w:trPr>
        <w:tc>
          <w:tcPr>
            <w:tcW w:w="4201" w:type="dxa"/>
            <w:noWrap w:val="0"/>
            <w:vAlign w:val="center"/>
          </w:tcPr>
          <w:p w14:paraId="54F80781">
            <w:pPr>
              <w:spacing w:line="240" w:lineRule="auto"/>
              <w:ind w:firstLine="480" w:firstLineChars="200"/>
              <w:rPr>
                <w:rFonts w:ascii="宋体"/>
                <w:sz w:val="24"/>
              </w:rPr>
            </w:pPr>
            <w:r>
              <w:rPr>
                <w:rFonts w:hint="eastAsia" w:ascii="宋体" w:hAnsi="宋体" w:cs="宋体"/>
                <w:sz w:val="24"/>
              </w:rPr>
              <w:t>日期：</w:t>
            </w:r>
          </w:p>
        </w:tc>
        <w:tc>
          <w:tcPr>
            <w:tcW w:w="4202" w:type="dxa"/>
            <w:noWrap w:val="0"/>
            <w:vAlign w:val="center"/>
          </w:tcPr>
          <w:p w14:paraId="0C70CC76">
            <w:pPr>
              <w:spacing w:line="240" w:lineRule="auto"/>
              <w:ind w:firstLine="480" w:firstLineChars="200"/>
              <w:rPr>
                <w:rFonts w:ascii="宋体"/>
                <w:sz w:val="24"/>
              </w:rPr>
            </w:pPr>
            <w:r>
              <w:rPr>
                <w:rFonts w:hint="eastAsia" w:ascii="宋体" w:hAnsi="宋体" w:cs="宋体"/>
                <w:sz w:val="24"/>
              </w:rPr>
              <w:t>日期：</w:t>
            </w:r>
          </w:p>
        </w:tc>
      </w:tr>
    </w:tbl>
    <w:p w14:paraId="5A321BD7">
      <w:pPr>
        <w:pStyle w:val="3"/>
        <w:rPr>
          <w:rFonts w:ascii="Lucida Sans Unicode" w:hAnsi="Lucida Sans Unicode" w:eastAsia="Lucida Sans Unicode" w:cs="Lucida Sans Unicode"/>
          <w:sz w:val="19"/>
          <w:szCs w:val="19"/>
        </w:rPr>
      </w:pPr>
    </w:p>
    <w:p w14:paraId="692838CC"/>
    <w:p w14:paraId="439EE6A1">
      <w:bookmarkStart w:id="0" w:name="_GoBack"/>
      <w:bookmarkEnd w:id="0"/>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ucida Sans Unicode">
    <w:panose1 w:val="020B0602030504020204"/>
    <w:charset w:val="00"/>
    <w:family w:val="auto"/>
    <w:pitch w:val="default"/>
    <w:sig w:usb0="80001AFF" w:usb1="0000396B" w:usb2="00000000" w:usb3="00000000" w:csb0="200000BF" w:csb1="D7F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AC1C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Title"/>
    <w:basedOn w:val="1"/>
    <w:next w:val="1"/>
    <w:qFormat/>
    <w:uiPriority w:val="99"/>
    <w:pPr>
      <w:spacing w:before="240" w:after="60"/>
      <w:jc w:val="center"/>
      <w:outlineLvl w:val="0"/>
    </w:pPr>
    <w:rPr>
      <w:rFonts w:ascii="Arial" w:hAnsi="Arial"/>
      <w:b/>
    </w:rPr>
  </w:style>
  <w:style w:type="paragraph" w:styleId="3">
    <w:name w:val="Body Text"/>
    <w:basedOn w:val="1"/>
    <w:next w:val="1"/>
    <w:qFormat/>
    <w:uiPriority w:val="0"/>
    <w:rPr>
      <w:color w:val="993300"/>
      <w:sz w:val="24"/>
    </w:rPr>
  </w:style>
  <w:style w:type="paragraph" w:styleId="4">
    <w:name w:val="Plain Text"/>
    <w:basedOn w:val="1"/>
    <w:next w:val="1"/>
    <w:qFormat/>
    <w:uiPriority w:val="0"/>
    <w:rPr>
      <w:rFonts w:ascii="宋体" w:hAnsi="Courier New" w:cs="Courier New"/>
      <w:szCs w:val="21"/>
    </w:rPr>
  </w:style>
  <w:style w:type="paragraph" w:styleId="7">
    <w:name w:val="List Paragraph"/>
    <w:basedOn w:val="1"/>
    <w:qFormat/>
    <w:uiPriority w:val="34"/>
    <w:pPr>
      <w:widowControl/>
      <w:spacing w:line="240" w:lineRule="auto"/>
      <w:ind w:left="720"/>
      <w:contextualSpacing/>
      <w:jc w:val="left"/>
    </w:pPr>
    <w:rPr>
      <w:rFonts w:ascii="Calibri" w:hAnsi="Calibri"/>
      <w:kern w:val="0"/>
      <w:sz w:val="24"/>
      <w:lang w:eastAsia="en-US" w:bidi="en-US"/>
    </w:rPr>
  </w:style>
  <w:style w:type="paragraph" w:customStyle="1" w:styleId="8">
    <w:name w:val="列出段落1"/>
    <w:basedOn w:val="1"/>
    <w:qFormat/>
    <w:uiPriority w:val="99"/>
    <w:pPr>
      <w:spacing w:line="240" w:lineRule="auto"/>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2025-05-19T01:40:52Z</dcterms:created>
  <dc:creator>Administrator</dc:creator>
  <cp:lastModifiedBy>bling  bling</cp:lastModifiedBy>
  <dcterms:modified xsi:type="dcterms:W3CDTF">2025-05-19T01:40:58Z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eyJoZGlkIjoiOTM4MWZlYzIyYzlkNWU5YzViOGVkNzkwNTQwYWY4NTMiLCJ1c2VySWQiOiI1NTAzMTkyMTcifQ==</vt:lpwstr>
  </property>
  <property fmtid="{D5CDD505-2E9C-101B-9397-08002B2CF9AE}" pid="4" name="ICV">
    <vt:lpwstr>18D4FAB637A24B48968F6DE5536DA84B_12</vt:lpwstr>
  </property>
</Properties>
</file>