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版本号：LZBB2025-227.20250516001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东软DSA维保服务项目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LZBB2025-227.</w:t>
      </w:r>
      <w:r>
        <w:br/>
      </w:r>
      <w:r>
        <w:br/>
      </w:r>
      <w:r>
        <w:br/>
      </w:r>
    </w:p>
    <w:p>
      <w:pPr>
        <w:pStyle w:val="null3"/>
        <w:jc w:val="center"/>
        <w:outlineLvl w:val="2"/>
      </w:pPr>
      <w:r>
        <w:rPr>
          <w:rFonts w:ascii="仿宋_GB2312" w:hAnsi="仿宋_GB2312" w:cs="仿宋_GB2312" w:eastAsia="仿宋_GB2312"/>
          <w:sz w:val="28"/>
          <w:b/>
        </w:rPr>
        <w:t>西安市第九医院</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西安市第九医院</w:t>
      </w:r>
      <w:r>
        <w:rPr>
          <w:rFonts w:ascii="仿宋_GB2312" w:hAnsi="仿宋_GB2312" w:cs="仿宋_GB2312" w:eastAsia="仿宋_GB2312"/>
        </w:rPr>
        <w:t>委托，拟对</w:t>
      </w:r>
      <w:r>
        <w:rPr>
          <w:rFonts w:ascii="仿宋_GB2312" w:hAnsi="仿宋_GB2312" w:cs="仿宋_GB2312" w:eastAsia="仿宋_GB2312"/>
        </w:rPr>
        <w:t>东软DSA维保服务项目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LZBB2025-227.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东软DSA维保服务项目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本项目拟对西安市第九医院东软DSA维保服务项目进行采购，具体详见采购文件。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事业单位法人证书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供应商在本项目磋商响应文件递交截止时间前六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p>
      <w:pPr>
        <w:pStyle w:val="null3"/>
      </w:pPr>
      <w:r>
        <w:rPr>
          <w:rFonts w:ascii="仿宋_GB2312" w:hAnsi="仿宋_GB2312" w:cs="仿宋_GB2312" w:eastAsia="仿宋_GB2312"/>
        </w:rPr>
        <w:t>3、财务状况：供应商提供2023年度或2024年度经审计的财务审计报告（事业法人可提供部门决算报告）；或提供供应商基本开户银行出具的资信证明；或提供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4、参加政府采购活动前3年内在经营活动中没有重大违法记录的书面声明；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6、承诺要求：本项目不接受由西安市第九医院职工投资的企业参加磋商，供应商需在项目电子化交易系统中按要求上传相应承诺函并进行电子签章</w:t>
      </w:r>
    </w:p>
    <w:p>
      <w:pPr>
        <w:pStyle w:val="null3"/>
      </w:pPr>
      <w:r>
        <w:rPr>
          <w:rFonts w:ascii="仿宋_GB2312" w:hAnsi="仿宋_GB2312" w:cs="仿宋_GB2312" w:eastAsia="仿宋_GB2312"/>
        </w:rPr>
        <w:t>7、供应商信用状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西安市第九医院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西安市南二环东段151号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伍育宁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029-61165668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陕西省西安市市本级陕西省西安市高新区太白南路181号A座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王万里、王飞、张波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029-88228899-626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张宏生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收取与退还：乙方在合同签订前将项目履约保证金（成交金额的5%）转账至甲方指定账户,未按照磋商文件要求按时足额缴纳履约保证金的，甲方将取消乙方成交资格，且无需承担任何责任，甲方可重新组织采购活动。合同期限履行完毕后无息退还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改革委员会办公厅颁发的《关于招标代理服务收费有关问题的通知》（发改办价格[2003]857号）的服务类标准计取。2、成交单位在领取成交通知书之前，须向代理机构支付招标代理服务费。3、招标代理服务费以转账或现金形式缴纳至以下账户： 开户名称：龙寰项目管理咨询有限公司，开户银行：平安银行西安高新路支行，账 号：30201278016545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西安市第九医院</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西安市第九医院</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西安市第九医院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联系人：王万里</w:t>
      </w:r>
    </w:p>
    <w:p>
      <w:pPr>
        <w:pStyle w:val="null3"/>
      </w:pPr>
      <w:r>
        <w:rPr>
          <w:rFonts w:ascii="仿宋_GB2312" w:hAnsi="仿宋_GB2312" w:cs="仿宋_GB2312" w:eastAsia="仿宋_GB2312"/>
        </w:rPr>
        <w:t>联系电话：029-88228899-626</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本项目拟对西安市第九医院东软DSA维保服务项目进行采购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东软DSA维保</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标的名称：东软DSA维保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left"/>
            </w:pPr>
            <w:r>
              <w:rPr>
                <w:rFonts w:ascii="仿宋_GB2312" w:hAnsi="仿宋_GB2312" w:cs="仿宋_GB2312" w:eastAsia="仿宋_GB2312"/>
                <w:sz w:val="20"/>
              </w:rPr>
              <w:t>一、</w:t>
            </w:r>
            <w:r>
              <w:rPr>
                <w:rFonts w:ascii="仿宋_GB2312" w:hAnsi="仿宋_GB2312" w:cs="仿宋_GB2312" w:eastAsia="仿宋_GB2312"/>
                <w:sz w:val="20"/>
              </w:rPr>
              <w:t>项目概况及适用范围：</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项目基本情况：本项目为东软</w:t>
            </w:r>
            <w:r>
              <w:rPr>
                <w:rFonts w:ascii="仿宋_GB2312" w:hAnsi="仿宋_GB2312" w:cs="仿宋_GB2312" w:eastAsia="仿宋_GB2312"/>
                <w:sz w:val="20"/>
              </w:rPr>
              <w:t>DSA NeuAngio 30C维保服务，投标人必须按国家、行业的标准及招标文件的要求对项目内的设备进行系统的、全面的检测、维护及保养，以保证设备的高效、正常运作。</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适用范围：院内现有东软</w:t>
            </w:r>
            <w:r>
              <w:rPr>
                <w:rFonts w:ascii="仿宋_GB2312" w:hAnsi="仿宋_GB2312" w:cs="仿宋_GB2312" w:eastAsia="仿宋_GB2312"/>
                <w:sz w:val="20"/>
              </w:rPr>
              <w:t>DSA维保服务三年。</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项目先进性要求：满足临床需求，使设备正常运转。</w:t>
            </w:r>
          </w:p>
          <w:p>
            <w:pPr>
              <w:pStyle w:val="null3"/>
              <w:ind w:firstLine="400"/>
              <w:jc w:val="left"/>
            </w:pPr>
            <w:r>
              <w:rPr>
                <w:rFonts w:ascii="仿宋_GB2312" w:hAnsi="仿宋_GB2312" w:cs="仿宋_GB2312" w:eastAsia="仿宋_GB2312"/>
                <w:sz w:val="20"/>
              </w:rPr>
              <w:t>二</w:t>
            </w:r>
            <w:r>
              <w:rPr>
                <w:rFonts w:ascii="仿宋_GB2312" w:hAnsi="仿宋_GB2312" w:cs="仿宋_GB2312" w:eastAsia="仿宋_GB2312"/>
                <w:sz w:val="20"/>
              </w:rPr>
              <w:t>、采购需求</w:t>
            </w:r>
          </w:p>
          <w:p>
            <w:pPr>
              <w:pStyle w:val="null3"/>
              <w:ind w:firstLine="440"/>
              <w:jc w:val="left"/>
            </w:pPr>
            <w:r>
              <w:rPr>
                <w:rFonts w:ascii="仿宋_GB2312" w:hAnsi="仿宋_GB2312" w:cs="仿宋_GB2312" w:eastAsia="仿宋_GB2312"/>
                <w:sz w:val="20"/>
              </w:rPr>
              <w:t>1.技术参数要求：</w:t>
            </w:r>
          </w:p>
          <w:tbl>
            <w:tblPr>
              <w:tblInd w:type="dxa" w:w="135"/>
              <w:tblBorders>
                <w:top w:val="none" w:color="000000" w:sz="4"/>
                <w:left w:val="none" w:color="000000" w:sz="4"/>
                <w:bottom w:val="none" w:color="000000" w:sz="4"/>
                <w:right w:val="none" w:color="000000" w:sz="4"/>
                <w:insideH w:val="none"/>
                <w:insideV w:val="none"/>
              </w:tblBorders>
            </w:tblPr>
            <w:tblGrid>
              <w:gridCol w:w="613"/>
              <w:gridCol w:w="1760"/>
            </w:tblGrid>
            <w:tr>
              <w:tc>
                <w:tcPr>
                  <w:tcW w:type="dxa" w:w="6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jc w:val="center"/>
                  </w:pPr>
                  <w:r>
                    <w:rPr>
                      <w:rFonts w:ascii="仿宋_GB2312" w:hAnsi="仿宋_GB2312" w:cs="仿宋_GB2312" w:eastAsia="仿宋_GB2312"/>
                      <w:sz w:val="20"/>
                    </w:rPr>
                    <w:t>维保设备</w:t>
                  </w:r>
                  <w:r>
                    <w:rPr>
                      <w:rFonts w:ascii="仿宋_GB2312" w:hAnsi="仿宋_GB2312" w:cs="仿宋_GB2312" w:eastAsia="仿宋_GB2312"/>
                      <w:sz w:val="20"/>
                    </w:rPr>
                    <w:t>型号</w:t>
                  </w:r>
                </w:p>
              </w:tc>
              <w:tc>
                <w:tcPr>
                  <w:tcW w:type="dxa" w:w="17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jc w:val="center"/>
                  </w:pPr>
                  <w:r>
                    <w:rPr>
                      <w:rFonts w:ascii="仿宋_GB2312" w:hAnsi="仿宋_GB2312" w:cs="仿宋_GB2312" w:eastAsia="仿宋_GB2312"/>
                      <w:sz w:val="20"/>
                    </w:rPr>
                    <w:t>采购技术要求</w:t>
                  </w:r>
                </w:p>
              </w:tc>
            </w:tr>
            <w:tr>
              <w:tc>
                <w:tcPr>
                  <w:tcW w:type="dxa" w:w="6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血管机</w:t>
                  </w:r>
                  <w:r>
                    <w:rPr>
                      <w:rFonts w:ascii="仿宋_GB2312" w:hAnsi="仿宋_GB2312" w:cs="仿宋_GB2312" w:eastAsia="仿宋_GB2312"/>
                      <w:sz w:val="20"/>
                    </w:rPr>
                    <w:t>NeuAngio 30C保修</w:t>
                  </w:r>
                </w:p>
              </w:tc>
              <w:tc>
                <w:tcPr>
                  <w:tcW w:type="dxa" w:w="1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1、保修范围：血管机的扫描架、检查床、操作台（含计算机系统）、球管散热水冷机组</w:t>
                  </w:r>
                  <w:r>
                    <w:rPr>
                      <w:rFonts w:ascii="仿宋_GB2312" w:hAnsi="仿宋_GB2312" w:cs="仿宋_GB2312" w:eastAsia="仿宋_GB2312"/>
                      <w:sz w:val="20"/>
                    </w:rPr>
                    <w:t>及高压注射器、工作站等第三方设备。</w:t>
                  </w:r>
                  <w:r>
                    <w:rPr>
                      <w:rFonts w:ascii="仿宋_GB2312" w:hAnsi="仿宋_GB2312" w:cs="仿宋_GB2312" w:eastAsia="仿宋_GB2312"/>
                      <w:sz w:val="20"/>
                    </w:rPr>
                    <w:t>（</w:t>
                  </w:r>
                  <w:r>
                    <w:rPr>
                      <w:rFonts w:ascii="仿宋_GB2312" w:hAnsi="仿宋_GB2312" w:cs="仿宋_GB2312" w:eastAsia="仿宋_GB2312"/>
                      <w:sz w:val="20"/>
                    </w:rPr>
                    <w:t>不包含球管、探测器</w:t>
                  </w:r>
                  <w:r>
                    <w:rPr>
                      <w:rFonts w:ascii="仿宋_GB2312" w:hAnsi="仿宋_GB2312" w:cs="仿宋_GB2312" w:eastAsia="仿宋_GB2312"/>
                      <w:sz w:val="20"/>
                    </w:rPr>
                    <w:t>）</w:t>
                  </w:r>
                </w:p>
              </w:tc>
            </w:tr>
            <w:tr>
              <w:tc>
                <w:tcPr>
                  <w:tcW w:type="dxa" w:w="613"/>
                  <w:vMerge/>
                  <w:tcBorders>
                    <w:top w:val="none" w:color="000000" w:sz="4"/>
                    <w:left w:val="single" w:color="000000" w:sz="4"/>
                    <w:bottom w:val="single" w:color="000000" w:sz="4"/>
                    <w:right w:val="single" w:color="000000" w:sz="4"/>
                  </w:tcBorders>
                </w:tcPr>
                <w:p/>
              </w:tc>
              <w:tc>
                <w:tcPr>
                  <w:tcW w:type="dxa" w:w="1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2、响应时间：</w:t>
                  </w:r>
                  <w:r>
                    <w:rPr>
                      <w:rFonts w:ascii="仿宋_GB2312" w:hAnsi="仿宋_GB2312" w:cs="仿宋_GB2312" w:eastAsia="仿宋_GB2312"/>
                      <w:sz w:val="20"/>
                    </w:rPr>
                    <w:t>电话报修响应时间：</w:t>
                  </w:r>
                  <w:r>
                    <w:rPr>
                      <w:rFonts w:ascii="仿宋_GB2312" w:hAnsi="仿宋_GB2312" w:cs="仿宋_GB2312" w:eastAsia="仿宋_GB2312"/>
                      <w:sz w:val="20"/>
                    </w:rPr>
                    <w:t>≤30分钟</w:t>
                  </w:r>
                </w:p>
              </w:tc>
            </w:tr>
            <w:tr>
              <w:tc>
                <w:tcPr>
                  <w:tcW w:type="dxa" w:w="613"/>
                  <w:vMerge/>
                  <w:tcBorders>
                    <w:top w:val="none" w:color="000000" w:sz="4"/>
                    <w:left w:val="single" w:color="000000" w:sz="4"/>
                    <w:bottom w:val="single" w:color="000000" w:sz="4"/>
                    <w:right w:val="single" w:color="000000" w:sz="4"/>
                  </w:tcBorders>
                </w:tcPr>
                <w:p/>
              </w:tc>
              <w:tc>
                <w:tcPr>
                  <w:tcW w:type="dxa" w:w="1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平均到达现场时间：</w:t>
                  </w:r>
                  <w:r>
                    <w:rPr>
                      <w:rFonts w:ascii="仿宋_GB2312" w:hAnsi="仿宋_GB2312" w:cs="仿宋_GB2312" w:eastAsia="仿宋_GB2312"/>
                      <w:sz w:val="20"/>
                    </w:rPr>
                    <w:t>≤</w:t>
                  </w:r>
                  <w:r>
                    <w:rPr>
                      <w:rFonts w:ascii="仿宋_GB2312" w:hAnsi="仿宋_GB2312" w:cs="仿宋_GB2312" w:eastAsia="仿宋_GB2312"/>
                      <w:sz w:val="20"/>
                    </w:rPr>
                    <w:t>12</w:t>
                  </w:r>
                  <w:r>
                    <w:rPr>
                      <w:rFonts w:ascii="仿宋_GB2312" w:hAnsi="仿宋_GB2312" w:cs="仿宋_GB2312" w:eastAsia="仿宋_GB2312"/>
                      <w:sz w:val="20"/>
                    </w:rPr>
                    <w:t>小时</w:t>
                  </w:r>
                </w:p>
              </w:tc>
            </w:tr>
            <w:tr>
              <w:tc>
                <w:tcPr>
                  <w:tcW w:type="dxa" w:w="613"/>
                  <w:vMerge/>
                  <w:tcBorders>
                    <w:top w:val="none" w:color="000000" w:sz="4"/>
                    <w:left w:val="single" w:color="000000" w:sz="4"/>
                    <w:bottom w:val="single" w:color="000000" w:sz="4"/>
                    <w:right w:val="single" w:color="000000" w:sz="4"/>
                  </w:tcBorders>
                </w:tcPr>
                <w:p/>
              </w:tc>
              <w:tc>
                <w:tcPr>
                  <w:tcW w:type="dxa" w:w="1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平均设备修复时间：</w:t>
                  </w:r>
                  <w:r>
                    <w:rPr>
                      <w:rFonts w:ascii="仿宋_GB2312" w:hAnsi="仿宋_GB2312" w:cs="仿宋_GB2312" w:eastAsia="仿宋_GB2312"/>
                      <w:sz w:val="20"/>
                    </w:rPr>
                    <w:t>≤</w:t>
                  </w:r>
                  <w:r>
                    <w:rPr>
                      <w:rFonts w:ascii="仿宋_GB2312" w:hAnsi="仿宋_GB2312" w:cs="仿宋_GB2312" w:eastAsia="仿宋_GB2312"/>
                      <w:sz w:val="20"/>
                    </w:rPr>
                    <w:t>24</w:t>
                  </w:r>
                  <w:r>
                    <w:rPr>
                      <w:rFonts w:ascii="仿宋_GB2312" w:hAnsi="仿宋_GB2312" w:cs="仿宋_GB2312" w:eastAsia="仿宋_GB2312"/>
                      <w:sz w:val="20"/>
                    </w:rPr>
                    <w:t>小时修复</w:t>
                  </w:r>
                </w:p>
              </w:tc>
            </w:tr>
            <w:tr>
              <w:tc>
                <w:tcPr>
                  <w:tcW w:type="dxa" w:w="613"/>
                  <w:vMerge/>
                  <w:tcBorders>
                    <w:top w:val="none" w:color="000000" w:sz="4"/>
                    <w:left w:val="single" w:color="000000" w:sz="4"/>
                    <w:bottom w:val="single" w:color="000000" w:sz="4"/>
                    <w:right w:val="single" w:color="000000" w:sz="4"/>
                  </w:tcBorders>
                </w:tcPr>
                <w:p/>
              </w:tc>
              <w:tc>
                <w:tcPr>
                  <w:tcW w:type="dxa" w:w="1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预防性保养：</w:t>
                  </w:r>
                  <w:r>
                    <w:rPr>
                      <w:rFonts w:ascii="仿宋_GB2312" w:hAnsi="仿宋_GB2312" w:cs="仿宋_GB2312" w:eastAsia="仿宋_GB2312"/>
                      <w:sz w:val="20"/>
                    </w:rPr>
                    <w:t>≥4次/年</w:t>
                  </w:r>
                  <w:r>
                    <w:rPr>
                      <w:rFonts w:ascii="仿宋_GB2312" w:hAnsi="仿宋_GB2312" w:cs="仿宋_GB2312" w:eastAsia="仿宋_GB2312"/>
                      <w:sz w:val="20"/>
                    </w:rPr>
                    <w:t>（</w:t>
                  </w:r>
                  <w:r>
                    <w:rPr>
                      <w:rFonts w:ascii="仿宋_GB2312" w:hAnsi="仿宋_GB2312" w:cs="仿宋_GB2312" w:eastAsia="仿宋_GB2312"/>
                      <w:sz w:val="20"/>
                    </w:rPr>
                    <w:t>每季度至少一次</w:t>
                  </w:r>
                  <w:r>
                    <w:rPr>
                      <w:rFonts w:ascii="仿宋_GB2312" w:hAnsi="仿宋_GB2312" w:cs="仿宋_GB2312" w:eastAsia="仿宋_GB2312"/>
                      <w:sz w:val="20"/>
                    </w:rPr>
                    <w:t>）</w:t>
                  </w:r>
                </w:p>
              </w:tc>
            </w:tr>
            <w:tr>
              <w:tc>
                <w:tcPr>
                  <w:tcW w:type="dxa" w:w="613"/>
                  <w:vMerge/>
                  <w:tcBorders>
                    <w:top w:val="none" w:color="000000" w:sz="4"/>
                    <w:left w:val="single" w:color="000000" w:sz="4"/>
                    <w:bottom w:val="single" w:color="000000" w:sz="4"/>
                    <w:right w:val="single" w:color="000000" w:sz="4"/>
                  </w:tcBorders>
                </w:tcPr>
                <w:p/>
              </w:tc>
              <w:tc>
                <w:tcPr>
                  <w:tcW w:type="dxa" w:w="1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6、保修期内开机率达：≥98%   开机时间≥358天/年 （按24小时计算）</w:t>
                  </w:r>
                </w:p>
              </w:tc>
            </w:tr>
            <w:tr>
              <w:tc>
                <w:tcPr>
                  <w:tcW w:type="dxa" w:w="613"/>
                  <w:vMerge/>
                  <w:tcBorders>
                    <w:top w:val="none" w:color="000000" w:sz="4"/>
                    <w:left w:val="single" w:color="000000" w:sz="4"/>
                    <w:bottom w:val="single" w:color="000000" w:sz="4"/>
                    <w:right w:val="single" w:color="000000" w:sz="4"/>
                  </w:tcBorders>
                </w:tcPr>
                <w:p/>
              </w:tc>
              <w:tc>
                <w:tcPr>
                  <w:tcW w:type="dxa" w:w="1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7、开机率若达不到358天，</w:t>
                  </w:r>
                  <w:r>
                    <w:rPr>
                      <w:rFonts w:ascii="仿宋_GB2312" w:hAnsi="仿宋_GB2312" w:cs="仿宋_GB2312" w:eastAsia="仿宋_GB2312"/>
                      <w:sz w:val="20"/>
                    </w:rPr>
                    <w:t>或单次故障修复时间</w:t>
                  </w:r>
                  <w:r>
                    <w:rPr>
                      <w:rFonts w:ascii="仿宋_GB2312" w:hAnsi="仿宋_GB2312" w:cs="仿宋_GB2312" w:eastAsia="仿宋_GB2312"/>
                      <w:sz w:val="20"/>
                    </w:rPr>
                    <w:t>≤2天，每超过1天按</w:t>
                  </w:r>
                  <w:r>
                    <w:rPr>
                      <w:rFonts w:ascii="仿宋_GB2312" w:hAnsi="仿宋_GB2312" w:cs="仿宋_GB2312" w:eastAsia="仿宋_GB2312"/>
                      <w:sz w:val="20"/>
                    </w:rPr>
                    <w:t>五倍延长保修时间</w:t>
                  </w:r>
                </w:p>
              </w:tc>
            </w:tr>
          </w:tbl>
          <w:p>
            <w:pPr>
              <w:pStyle w:val="null3"/>
              <w:ind w:firstLine="400"/>
              <w:jc w:val="both"/>
            </w:pPr>
            <w:r>
              <w:rPr>
                <w:rFonts w:ascii="仿宋_GB2312" w:hAnsi="仿宋_GB2312" w:cs="仿宋_GB2312" w:eastAsia="仿宋_GB2312"/>
                <w:sz w:val="20"/>
              </w:rPr>
              <w:t>2.质量要求：确保设备正常运转，不影响临床科室工作。</w:t>
            </w:r>
          </w:p>
          <w:p>
            <w:pPr>
              <w:pStyle w:val="null3"/>
              <w:ind w:firstLine="400"/>
              <w:jc w:val="both"/>
            </w:pPr>
            <w:r>
              <w:rPr>
                <w:rFonts w:ascii="仿宋_GB2312" w:hAnsi="仿宋_GB2312" w:cs="仿宋_GB2312" w:eastAsia="仿宋_GB2312"/>
                <w:sz w:val="20"/>
              </w:rPr>
              <w:t>3.零配件及耗材要求：</w:t>
            </w:r>
            <w:r>
              <w:rPr>
                <w:rFonts w:ascii="仿宋_GB2312" w:hAnsi="仿宋_GB2312" w:cs="仿宋_GB2312" w:eastAsia="仿宋_GB2312"/>
                <w:sz w:val="20"/>
              </w:rPr>
              <w:t>（包括专用工具）原厂</w:t>
            </w:r>
            <w:r>
              <w:rPr>
                <w:rFonts w:ascii="仿宋_GB2312" w:hAnsi="仿宋_GB2312" w:cs="仿宋_GB2312" w:eastAsia="仿宋_GB2312"/>
                <w:sz w:val="20"/>
              </w:rPr>
              <w:t>全新</w:t>
            </w:r>
            <w:r>
              <w:rPr>
                <w:rFonts w:ascii="仿宋_GB2312" w:hAnsi="仿宋_GB2312" w:cs="仿宋_GB2312" w:eastAsia="仿宋_GB2312"/>
                <w:sz w:val="20"/>
              </w:rPr>
              <w:t>未拆封配件。</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乙方向甲方提交服务实施过程中的所有资料</w:t>
            </w:r>
            <w:r>
              <w:rPr>
                <w:rFonts w:ascii="仿宋_GB2312" w:hAnsi="仿宋_GB2312" w:cs="仿宋_GB2312" w:eastAsia="仿宋_GB2312"/>
                <w:sz w:val="20"/>
              </w:rPr>
              <w:t>，</w:t>
            </w:r>
            <w:r>
              <w:rPr>
                <w:rFonts w:ascii="仿宋_GB2312" w:hAnsi="仿宋_GB2312" w:cs="仿宋_GB2312" w:eastAsia="仿宋_GB2312"/>
                <w:sz w:val="20"/>
              </w:rPr>
              <w:t>以便甲方日后管理和维护。</w:t>
            </w:r>
          </w:p>
          <w:p>
            <w:pPr>
              <w:pStyle w:val="null3"/>
              <w:ind w:firstLine="400"/>
              <w:jc w:val="both"/>
            </w:pPr>
            <w:r>
              <w:rPr>
                <w:rFonts w:ascii="仿宋_GB2312" w:hAnsi="仿宋_GB2312" w:cs="仿宋_GB2312" w:eastAsia="仿宋_GB2312"/>
                <w:sz w:val="20"/>
              </w:rPr>
              <w:t>5．验收标准；乙方提供全年维保台账，并进行自检，自检合格后向甲方提出验收申请；甲方确认乙方的自检内容后，组织验收，验收时乙方应派员参加，共同对验收结果进行确认，并签署最终验收单，本项目验收单为结算依据之一。</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验收依据：</w:t>
            </w:r>
          </w:p>
          <w:p>
            <w:pPr>
              <w:pStyle w:val="null3"/>
              <w:ind w:firstLine="400"/>
              <w:jc w:val="both"/>
            </w:pPr>
            <w:r>
              <w:rPr>
                <w:rFonts w:ascii="仿宋_GB2312" w:hAnsi="仿宋_GB2312" w:cs="仿宋_GB2312" w:eastAsia="仿宋_GB2312"/>
                <w:sz w:val="20"/>
              </w:rPr>
              <w:t>6.1</w:t>
            </w:r>
            <w:r>
              <w:rPr>
                <w:rFonts w:ascii="仿宋_GB2312" w:hAnsi="仿宋_GB2312" w:cs="仿宋_GB2312" w:eastAsia="仿宋_GB2312"/>
                <w:sz w:val="20"/>
              </w:rPr>
              <w:t>竞争性磋商文件、竞争性磋商响应文件、澄清表（函）；</w:t>
            </w:r>
          </w:p>
          <w:p>
            <w:pPr>
              <w:pStyle w:val="null3"/>
              <w:ind w:firstLine="400"/>
              <w:jc w:val="both"/>
            </w:pPr>
            <w:r>
              <w:rPr>
                <w:rFonts w:ascii="仿宋_GB2312" w:hAnsi="仿宋_GB2312" w:cs="仿宋_GB2312" w:eastAsia="仿宋_GB2312"/>
                <w:sz w:val="20"/>
              </w:rPr>
              <w:t>6.2</w:t>
            </w:r>
            <w:r>
              <w:rPr>
                <w:rFonts w:ascii="仿宋_GB2312" w:hAnsi="仿宋_GB2312" w:cs="仿宋_GB2312" w:eastAsia="仿宋_GB2312"/>
                <w:sz w:val="20"/>
              </w:rPr>
              <w:t>本合同及附件文本（包括但不限于满意度调查表）；</w:t>
            </w:r>
          </w:p>
          <w:p>
            <w:pPr>
              <w:pStyle w:val="null3"/>
              <w:ind w:firstLine="400"/>
              <w:jc w:val="both"/>
            </w:pPr>
            <w:r>
              <w:rPr>
                <w:rFonts w:ascii="仿宋_GB2312" w:hAnsi="仿宋_GB2312" w:cs="仿宋_GB2312" w:eastAsia="仿宋_GB2312"/>
                <w:sz w:val="20"/>
              </w:rPr>
              <w:t>6.3</w:t>
            </w:r>
            <w:r>
              <w:rPr>
                <w:rFonts w:ascii="仿宋_GB2312" w:hAnsi="仿宋_GB2312" w:cs="仿宋_GB2312" w:eastAsia="仿宋_GB2312"/>
                <w:sz w:val="20"/>
              </w:rPr>
              <w:t>国家相应的标准、规范。</w:t>
            </w:r>
          </w:p>
          <w:p>
            <w:pPr>
              <w:pStyle w:val="null3"/>
              <w:ind w:firstLine="440"/>
              <w:jc w:val="both"/>
            </w:pPr>
            <w:r>
              <w:rPr>
                <w:rFonts w:ascii="仿宋_GB2312" w:hAnsi="仿宋_GB2312" w:cs="仿宋_GB2312" w:eastAsia="仿宋_GB2312"/>
                <w:sz w:val="20"/>
              </w:rPr>
              <w:t>三、商务需求</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服务</w:t>
            </w:r>
            <w:r>
              <w:rPr>
                <w:rFonts w:ascii="仿宋_GB2312" w:hAnsi="仿宋_GB2312" w:cs="仿宋_GB2312" w:eastAsia="仿宋_GB2312"/>
                <w:sz w:val="20"/>
              </w:rPr>
              <w:t>地点：</w:t>
            </w:r>
            <w:r>
              <w:rPr>
                <w:rFonts w:ascii="仿宋_GB2312" w:hAnsi="仿宋_GB2312" w:cs="仿宋_GB2312" w:eastAsia="仿宋_GB2312"/>
                <w:sz w:val="20"/>
                <w:color w:val="000000"/>
              </w:rPr>
              <w:t>西安市第九医院院内</w:t>
            </w:r>
          </w:p>
          <w:p>
            <w:pPr>
              <w:pStyle w:val="null3"/>
              <w:ind w:firstLine="400"/>
              <w:jc w:val="left"/>
            </w:pPr>
            <w:r>
              <w:rPr>
                <w:rFonts w:ascii="仿宋_GB2312" w:hAnsi="仿宋_GB2312" w:cs="仿宋_GB2312" w:eastAsia="仿宋_GB2312"/>
                <w:sz w:val="20"/>
              </w:rPr>
              <w:t>4</w:t>
            </w:r>
            <w:r>
              <w:rPr>
                <w:rFonts w:ascii="仿宋_GB2312" w:hAnsi="仿宋_GB2312" w:cs="仿宋_GB2312" w:eastAsia="仿宋_GB2312"/>
                <w:sz w:val="20"/>
              </w:rPr>
              <w:t>.维保期限：</w:t>
            </w:r>
            <w:r>
              <w:rPr>
                <w:rFonts w:ascii="仿宋_GB2312" w:hAnsi="仿宋_GB2312" w:cs="仿宋_GB2312" w:eastAsia="仿宋_GB2312"/>
                <w:sz w:val="20"/>
                <w:color w:val="000000"/>
              </w:rPr>
              <w:t>3年</w:t>
            </w:r>
          </w:p>
          <w:p>
            <w:pPr>
              <w:pStyle w:val="null3"/>
              <w:ind w:firstLine="400"/>
              <w:jc w:val="left"/>
            </w:pPr>
            <w:r>
              <w:rPr>
                <w:rFonts w:ascii="仿宋_GB2312" w:hAnsi="仿宋_GB2312" w:cs="仿宋_GB2312" w:eastAsia="仿宋_GB2312"/>
                <w:sz w:val="20"/>
              </w:rPr>
              <w:t>5</w:t>
            </w:r>
            <w:r>
              <w:rPr>
                <w:rFonts w:ascii="仿宋_GB2312" w:hAnsi="仿宋_GB2312" w:cs="仿宋_GB2312" w:eastAsia="仿宋_GB2312"/>
                <w:sz w:val="20"/>
              </w:rPr>
              <w:t>.付款方式、支付方式、结算方式及要求：</w:t>
            </w:r>
          </w:p>
          <w:p>
            <w:pPr>
              <w:pStyle w:val="null3"/>
              <w:ind w:right="-30" w:firstLine="400"/>
              <w:jc w:val="both"/>
            </w:pPr>
            <w:r>
              <w:rPr>
                <w:rFonts w:ascii="仿宋_GB2312" w:hAnsi="仿宋_GB2312" w:cs="仿宋_GB2312" w:eastAsia="仿宋_GB2312"/>
                <w:sz w:val="20"/>
                <w:color w:val="000000"/>
              </w:rPr>
              <w:t>分三期付款。第一年维保结束且验收合格后，开具第一年维保金额发票，</w:t>
            </w:r>
            <w:r>
              <w:rPr>
                <w:rFonts w:ascii="仿宋_GB2312" w:hAnsi="仿宋_GB2312" w:cs="仿宋_GB2312" w:eastAsia="仿宋_GB2312"/>
                <w:sz w:val="20"/>
                <w:color w:val="000000"/>
              </w:rPr>
              <w:t>60个日历内支付发票金额。第二年维保结束且验收合格后，开具第二年维保金额发票，60个日历内支付发票金额。第三年维保结束且验收合格后，开具第三年维保金额发票，60个日历内支付发票金额。</w:t>
            </w:r>
          </w:p>
          <w:p>
            <w:pPr>
              <w:pStyle w:val="null3"/>
              <w:ind w:firstLine="200"/>
              <w:jc w:val="both"/>
            </w:pPr>
            <w:r>
              <w:rPr>
                <w:rFonts w:ascii="仿宋_GB2312" w:hAnsi="仿宋_GB2312" w:cs="仿宋_GB2312" w:eastAsia="仿宋_GB2312"/>
                <w:sz w:val="20"/>
              </w:rPr>
              <w:t>6.其它需求：合同签订前五个工作日内，乙方缴纳总价款5%履约保证金给甲方。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满足项目采购要求配备，具备专项小组。</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西安市第九医院院内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（一）竞争性磋商文件、竞争性磋商响应文件； （二）本合同及附件文本； （三）合同签订时国家及行业现行的标准和技术规范。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第一年维保结束且验收合格后，开具第一年维保金额发票，60个日历内支付发票金额</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33.00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第二年维保结束且验收合格后，开具第二年维保金额发票，60个日历内支付发票金额</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33.00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第三年维保结束且验收合格后，开具第三年维保金额发票，60个日历内支付发票金额</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34.00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1、违约责任：（一）按《民法典》中的相关条款执行。 （二）未按合同要求提供服务或服务质量不能满足合同要求，甲方有权依据《民法典》有关条款及合同约定终止合同，并要求乙方承担违约责任。 （三）在本合同履行过程中，双方因违约或造成对方经济等损失的应当赔偿。 （四）乙方提供的服务不符合本项目相关文件和本合同规定的，甲方有权拒绝，并且乙方须向甲方支付本合同总价款 %的违约金。 （五）乙方未能按照本合同约定时间提供服务或完成约定的项目服务内容的，从逾期之日起每日按本合同总价款 %的数额向甲方支付违约金；逾期10日以上的，甲方有权终止合同，由此造成的甲方经济损失由乙方承担。 （六）未经甲方同意，乙方不得擅自将本合同服务转包第三方承担。 （七）双方拟定的其他条款。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2.本项目非专门面向中小企业采购。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方案响应部分.docx 磋商响应函.docx 开标一览表及报价明细表.docx 供应商认为有必要说明的其他事项（如有）.docx 授权委托书.docx 承诺书.docx 相关资格证明资料.docx 响应文件封面 残疾人福利性单位声明函 标的清单 其他资料.docx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法人或者其他组织提供营业执照、事业单位法人证书等证明文件，自然人提供身份证件，供应商需在项目电子化交易系统中按要求上传相应证明文件并进行电子签章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六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提供2023年度或2024年度经审计的财务审计报告（事业法人可提供部门决算报告）；或提供供应商基本开户银行出具的资信证明；或提供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承诺要求</w:t>
            </w:r>
          </w:p>
        </w:tc>
        <w:tc>
          <w:tcPr>
            <w:tcW w:type="dxa" w:w="3322"/>
          </w:tcPr>
          <w:p>
            <w:pPr>
              <w:pStyle w:val="null3"/>
            </w:pPr>
            <w:r>
              <w:rPr>
                <w:rFonts w:ascii="仿宋_GB2312" w:hAnsi="仿宋_GB2312" w:cs="仿宋_GB2312" w:eastAsia="仿宋_GB2312"/>
              </w:rPr>
              <w:t>本项目不接受由西安市第九医院职工投资的企业参加磋商，供应商需在项目电子化交易系统中按要求上传相应承诺函并进行电子签章</w:t>
            </w:r>
          </w:p>
        </w:tc>
        <w:tc>
          <w:tcPr>
            <w:tcW w:type="dxa" w:w="1661"/>
          </w:tcPr>
          <w:p>
            <w:pPr>
              <w:pStyle w:val="null3"/>
            </w:pPr>
            <w:r>
              <w:rPr>
                <w:rFonts w:ascii="仿宋_GB2312" w:hAnsi="仿宋_GB2312" w:cs="仿宋_GB2312" w:eastAsia="仿宋_GB2312"/>
              </w:rPr>
              <w:t>相关资格证明资料.docx 承诺书.docx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供应商信用状况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tc>
        <w:tc>
          <w:tcPr>
            <w:tcW w:type="dxa" w:w="1661"/>
          </w:tcPr>
          <w:p>
            <w:pPr>
              <w:pStyle w:val="null3"/>
            </w:pPr>
            <w:r>
              <w:rPr>
                <w:rFonts w:ascii="仿宋_GB2312" w:hAnsi="仿宋_GB2312" w:cs="仿宋_GB2312" w:eastAsia="仿宋_GB2312"/>
              </w:rPr>
              <w:t>磋商响应函.docx 开标一览表及报价明细表.docx 供应商认为有必要说明的其他事项（如有）.docx 中小企业声明函 授权委托书.docx 承诺书.docx 报价表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未出现磋商文件规定的无效响应情形</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维保服务方案</w:t>
            </w:r>
          </w:p>
        </w:tc>
        <w:tc>
          <w:tcPr>
            <w:tcW w:type="dxa" w:w="2492"/>
          </w:tcPr>
          <w:p>
            <w:pPr>
              <w:pStyle w:val="null3"/>
            </w:pPr>
            <w:r>
              <w:rPr>
                <w:rFonts w:ascii="仿宋_GB2312" w:hAnsi="仿宋_GB2312" w:cs="仿宋_GB2312" w:eastAsia="仿宋_GB2312"/>
              </w:rPr>
              <w:t>根据本项目列出具体的维保服务方案，根据维保服务方案的细致、可行程度等，自主赋分。 维保服务方案细致、合理可行，得15分； 维保服务方案基本可行，得10分； 维保服务方案不满足要求，得5分；未提供不得分。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服务要求响应</w:t>
            </w:r>
          </w:p>
        </w:tc>
        <w:tc>
          <w:tcPr>
            <w:tcW w:type="dxa" w:w="2492"/>
          </w:tcPr>
          <w:p>
            <w:pPr>
              <w:pStyle w:val="null3"/>
            </w:pPr>
            <w:r>
              <w:rPr>
                <w:rFonts w:ascii="仿宋_GB2312" w:hAnsi="仿宋_GB2312" w:cs="仿宋_GB2312" w:eastAsia="仿宋_GB2312"/>
              </w:rPr>
              <w:t>投标人所响应的服务要求及服务内容，满足或高于招标文件要求。每负偏离一项减5分，扣完为止，不计负分。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维保人员和维保工具</w:t>
            </w:r>
          </w:p>
        </w:tc>
        <w:tc>
          <w:tcPr>
            <w:tcW w:type="dxa" w:w="2492"/>
          </w:tcPr>
          <w:p>
            <w:pPr>
              <w:pStyle w:val="null3"/>
            </w:pPr>
            <w:r>
              <w:rPr>
                <w:rFonts w:ascii="仿宋_GB2312" w:hAnsi="仿宋_GB2312" w:cs="仿宋_GB2312" w:eastAsia="仿宋_GB2312"/>
              </w:rPr>
              <w:t>针对本项目配备满足医院专业要求的设备维保人员、维保工具，按维保人员的专业程度（提供东软DSA相关培训证明资料）及维保工具清单自主赋分。 维保人员配备合理（人员提供东软DSA相关培训证明资料4人以上）、维保设备齐全，得20分； 维保人员（人员提供东软DSA相关培训证明资料2-4人）及设备配备基本合理齐全，得12分； 维保人员配备不足，无详细说明，得5分；未提供不得分。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服务质量保证及运行保障措施</w:t>
            </w:r>
          </w:p>
        </w:tc>
        <w:tc>
          <w:tcPr>
            <w:tcW w:type="dxa" w:w="2492"/>
          </w:tcPr>
          <w:p>
            <w:pPr>
              <w:pStyle w:val="null3"/>
            </w:pPr>
            <w:r>
              <w:rPr>
                <w:rFonts w:ascii="仿宋_GB2312" w:hAnsi="仿宋_GB2312" w:cs="仿宋_GB2312" w:eastAsia="仿宋_GB2312"/>
              </w:rPr>
              <w:t>保证设备正常运行并满足医院开机率要求。按期全面维养，故障排除时间24小时内，有临床培训和医工培训等。根据响应情况，自主赋分。 服务质量保障措施完备、响应快速，得10分； 服务质量保障基本完备、响应速度较快，得6分； 质量保障说明一般，响应速度一般，得3分；未提供不得分。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零配件供应</w:t>
            </w:r>
          </w:p>
        </w:tc>
        <w:tc>
          <w:tcPr>
            <w:tcW w:type="dxa" w:w="2492"/>
          </w:tcPr>
          <w:p>
            <w:pPr>
              <w:pStyle w:val="null3"/>
            </w:pPr>
            <w:r>
              <w:rPr>
                <w:rFonts w:ascii="仿宋_GB2312" w:hAnsi="仿宋_GB2312" w:cs="仿宋_GB2312" w:eastAsia="仿宋_GB2312"/>
              </w:rPr>
              <w:t>确保设备的正常使用，保证设备备品配件的正常供应，根据响应情况，自主赋分。 零配件供应充足，来源渠道正规，得10分； 零配件供应基本能满足需求，得7分； 零配件供应调配能力不满足需求，得4分；未提供不得分。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发生故障或事故时具有应急能力。根据响应情况，自主赋分。 应急预案合理、可行，得5分； 应急预案较为合理、基本可行，得3分； 应急预案与现状不符，得1分；未提供不得分。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供应商自2022年01月01日起至投标截止日止，有与本项目同类维保服务合同的，每提供一个计2分，最高计10分。 （注：提供合同原件复印件并加盖公章，否则不计分。）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方案响应部分.docx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采用低价优先法计算，即满足磋商文件要求且最后报价最低的供应商的价格为磋商基准价，其价格分为满分。磋商报价得分＝（磋商基准价/最后磋商报价）×价格分分值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其他资料.docx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详见附件：磋商响应函.docx</w:t>
      </w:r>
    </w:p>
    <w:p>
      <w:pPr>
        <w:pStyle w:val="null3"/>
        <w:ind w:firstLine="960"/>
      </w:pPr>
      <w:r>
        <w:rPr>
          <w:rFonts w:ascii="仿宋_GB2312" w:hAnsi="仿宋_GB2312" w:cs="仿宋_GB2312" w:eastAsia="仿宋_GB2312"/>
        </w:rPr>
        <w:t>详见附件：开标一览表及报价明细表.docx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详见附件：相关资格证明资料.docx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详见附件：方案响应部分.docx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详见附件：供应商认为有必要说明的其他事项（如有）.docx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