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版本号：GR25-CS-03920250520001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2025年聘请法律顾问项目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GR25-CS-039</w:t>
      </w:r>
      <w:r>
        <w:br/>
      </w:r>
      <w:r>
        <w:br/>
      </w:r>
      <w:r>
        <w:br/>
      </w:r>
    </w:p>
    <w:p>
      <w:pPr>
        <w:pStyle w:val="null3"/>
        <w:jc w:val="center"/>
        <w:outlineLvl w:val="2"/>
      </w:pPr>
      <w:r>
        <w:rPr>
          <w:rFonts w:ascii="仿宋_GB2312" w:hAnsi="仿宋_GB2312" w:cs="仿宋_GB2312" w:eastAsia="仿宋_GB2312"/>
          <w:sz w:val="28"/>
          <w:b/>
        </w:rPr>
        <w:t>西安市市场监督管理局浐灞国际港分局</w:t>
      </w:r>
    </w:p>
    <w:p>
      <w:pPr>
        <w:pStyle w:val="null3"/>
        <w:jc w:val="center"/>
        <w:outlineLvl w:val="2"/>
      </w:pPr>
      <w:r>
        <w:rPr>
          <w:rFonts w:ascii="仿宋_GB2312" w:hAnsi="仿宋_GB2312" w:cs="仿宋_GB2312" w:eastAsia="仿宋_GB2312"/>
          <w:sz w:val="28"/>
          <w:b/>
        </w:rPr>
        <w:t>伟江项目管理咨询有限公司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2025年05月20日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伟江项目管理咨询有限公司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西安市市场监督管理局浐灞国际港分局</w:t>
      </w:r>
      <w:r>
        <w:rPr>
          <w:rFonts w:ascii="仿宋_GB2312" w:hAnsi="仿宋_GB2312" w:cs="仿宋_GB2312" w:eastAsia="仿宋_GB2312"/>
        </w:rPr>
        <w:t>委托，拟对</w:t>
      </w:r>
      <w:r>
        <w:rPr>
          <w:rFonts w:ascii="仿宋_GB2312" w:hAnsi="仿宋_GB2312" w:cs="仿宋_GB2312" w:eastAsia="仿宋_GB2312"/>
        </w:rPr>
        <w:t>2025年聘请法律顾问项目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GR25-CS-039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2025年聘请法律顾问项目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本项目为西安市市场监督管理局浐灞国际港分局2025年聘请法律顾问项目。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西安市市场监督管理局浐灞国际港分局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西安市浐灞国际港港务大道7号物联网应用产业园3楼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西安市市场监督管理局浐灞国际港分局经办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029-88077903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伟江项目管理咨询有限公司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西安市新城区龙首北路东段大明宫圣远广场A座8001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吴斯琪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029-81111916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代理服务费收费标准：人民币￥5000元（人民币大写伍仟元整）</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西安市市场监督管理局浐灞国际港分局</w:t>
      </w:r>
      <w:r>
        <w:rPr>
          <w:rFonts w:ascii="仿宋_GB2312" w:hAnsi="仿宋_GB2312" w:cs="仿宋_GB2312" w:eastAsia="仿宋_GB2312"/>
        </w:rPr>
        <w:t>和</w:t>
      </w:r>
      <w:r>
        <w:rPr>
          <w:rFonts w:ascii="仿宋_GB2312" w:hAnsi="仿宋_GB2312" w:cs="仿宋_GB2312" w:eastAsia="仿宋_GB2312"/>
        </w:rPr>
        <w:t>伟江项目管理咨询有限公司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西安市市场监督管理局浐灞国际港分局</w:t>
      </w:r>
      <w:r>
        <w:rPr>
          <w:rFonts w:ascii="仿宋_GB2312" w:hAnsi="仿宋_GB2312" w:cs="仿宋_GB2312" w:eastAsia="仿宋_GB2312"/>
        </w:rPr>
        <w:t>负责解释。除上述磋商文件内容，其他内容由</w:t>
      </w:r>
      <w:r>
        <w:rPr>
          <w:rFonts w:ascii="仿宋_GB2312" w:hAnsi="仿宋_GB2312" w:cs="仿宋_GB2312" w:eastAsia="仿宋_GB2312"/>
        </w:rPr>
        <w:t>伟江项目管理咨询有限公司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西安市市场监督管理局浐灞国际港分局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伟江项目管理咨询有限公司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以最终签订的合同为准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伟江项目管理咨询有限公司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伟江项目管理咨询有限公司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伟江项目管理咨询有限公司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联系人：马建国</w:t>
      </w:r>
    </w:p>
    <w:p>
      <w:pPr>
        <w:pStyle w:val="null3"/>
      </w:pPr>
      <w:r>
        <w:rPr>
          <w:rFonts w:ascii="仿宋_GB2312" w:hAnsi="仿宋_GB2312" w:cs="仿宋_GB2312" w:eastAsia="仿宋_GB2312"/>
        </w:rPr>
        <w:t>联系电话：029-81111916</w:t>
      </w:r>
    </w:p>
    <w:p>
      <w:pPr>
        <w:pStyle w:val="null3"/>
      </w:pPr>
      <w:r>
        <w:rPr>
          <w:rFonts w:ascii="仿宋_GB2312" w:hAnsi="仿宋_GB2312" w:cs="仿宋_GB2312" w:eastAsia="仿宋_GB2312"/>
        </w:rPr>
        <w:t>地址：西安市新城区龙首北路东段大明宫圣远广场A座8001</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西安市市场监督管理局浐灞国际港分局2025年聘请法律顾问项目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w:t>
      </w:r>
    </w:p>
    <w:p>
      <w:pPr>
        <w:pStyle w:val="null3"/>
      </w:pPr>
      <w:r>
        <w:rPr>
          <w:rFonts w:ascii="仿宋_GB2312" w:hAnsi="仿宋_GB2312" w:cs="仿宋_GB2312" w:eastAsia="仿宋_GB2312"/>
        </w:rPr>
        <w:t>采购包最高限价（元）: 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2025年聘请法律顾问项目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标的名称：2025年聘请法律顾问项目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3"/>
              <w:jc w:val="left"/>
            </w:pPr>
            <w:r>
              <w:rPr>
                <w:rFonts w:ascii="仿宋_GB2312" w:hAnsi="仿宋_GB2312" w:cs="仿宋_GB2312" w:eastAsia="仿宋_GB2312"/>
                <w:sz w:val="32"/>
                <w:b/>
                <w:color w:val="424242"/>
                <w:shd w:fill="FFFFFF" w:val="clear"/>
              </w:rPr>
              <w:t>一、选聘要求</w:t>
            </w:r>
          </w:p>
          <w:p>
            <w:pPr>
              <w:pStyle w:val="null3"/>
              <w:ind w:firstLine="640"/>
              <w:jc w:val="left"/>
            </w:pPr>
            <w:r>
              <w:rPr>
                <w:rFonts w:ascii="仿宋_GB2312" w:hAnsi="仿宋_GB2312" w:cs="仿宋_GB2312" w:eastAsia="仿宋_GB2312"/>
                <w:sz w:val="32"/>
                <w:color w:val="424242"/>
                <w:shd w:fill="FFFFFF" w:val="clear"/>
              </w:rPr>
              <w:t>（一）律师事务所条件：</w:t>
            </w:r>
          </w:p>
          <w:p>
            <w:pPr>
              <w:pStyle w:val="null3"/>
              <w:ind w:firstLine="640"/>
              <w:jc w:val="left"/>
            </w:pPr>
            <w:r>
              <w:rPr>
                <w:rFonts w:ascii="仿宋_GB2312" w:hAnsi="仿宋_GB2312" w:cs="仿宋_GB2312" w:eastAsia="仿宋_GB2312"/>
                <w:sz w:val="32"/>
                <w:color w:val="424242"/>
                <w:shd w:fill="FFFFFF" w:val="clear"/>
              </w:rPr>
              <w:t>1.坚持正确的政治立场，拥护党的领导和路线方针政策；</w:t>
            </w:r>
          </w:p>
          <w:p>
            <w:pPr>
              <w:pStyle w:val="null3"/>
              <w:ind w:firstLine="640"/>
              <w:jc w:val="left"/>
            </w:pPr>
            <w:r>
              <w:rPr>
                <w:rFonts w:ascii="仿宋_GB2312" w:hAnsi="仿宋_GB2312" w:cs="仿宋_GB2312" w:eastAsia="仿宋_GB2312"/>
                <w:sz w:val="32"/>
                <w:color w:val="424242"/>
                <w:shd w:fill="FFFFFF" w:val="clear"/>
              </w:rPr>
              <w:t>2.纳入西安市政府采购名单；</w:t>
            </w:r>
          </w:p>
          <w:p>
            <w:pPr>
              <w:pStyle w:val="null3"/>
              <w:ind w:firstLine="640"/>
              <w:jc w:val="left"/>
            </w:pPr>
            <w:r>
              <w:rPr>
                <w:rFonts w:ascii="仿宋_GB2312" w:hAnsi="仿宋_GB2312" w:cs="仿宋_GB2312" w:eastAsia="仿宋_GB2312"/>
                <w:sz w:val="32"/>
                <w:color w:val="424242"/>
                <w:shd w:fill="FFFFFF" w:val="clear"/>
              </w:rPr>
              <w:t>3.遵纪守法，近五年未受过司法行政部门的行政处罚或者律师协会的行业处分；</w:t>
            </w:r>
          </w:p>
          <w:p>
            <w:pPr>
              <w:pStyle w:val="null3"/>
              <w:ind w:firstLine="640"/>
              <w:jc w:val="left"/>
            </w:pPr>
            <w:r>
              <w:rPr>
                <w:rFonts w:ascii="仿宋_GB2312" w:hAnsi="仿宋_GB2312" w:cs="仿宋_GB2312" w:eastAsia="仿宋_GB2312"/>
                <w:sz w:val="32"/>
                <w:color w:val="424242"/>
                <w:shd w:fill="FFFFFF" w:val="clear"/>
              </w:rPr>
              <w:t>4.律所住所地在西安，曾经担任政府机关法律顾问单位律所优先。</w:t>
            </w:r>
          </w:p>
          <w:p>
            <w:pPr>
              <w:pStyle w:val="null3"/>
              <w:ind w:firstLine="640"/>
              <w:jc w:val="left"/>
            </w:pPr>
            <w:r>
              <w:rPr>
                <w:rFonts w:ascii="仿宋_GB2312" w:hAnsi="仿宋_GB2312" w:cs="仿宋_GB2312" w:eastAsia="仿宋_GB2312"/>
                <w:sz w:val="32"/>
                <w:color w:val="424242"/>
                <w:shd w:fill="FFFFFF" w:val="clear"/>
              </w:rPr>
              <w:t>（二）选聘执业律师条件：</w:t>
            </w:r>
          </w:p>
          <w:p>
            <w:pPr>
              <w:pStyle w:val="null3"/>
              <w:ind w:firstLine="640"/>
              <w:jc w:val="left"/>
            </w:pPr>
            <w:r>
              <w:rPr>
                <w:rFonts w:ascii="仿宋_GB2312" w:hAnsi="仿宋_GB2312" w:cs="仿宋_GB2312" w:eastAsia="仿宋_GB2312"/>
                <w:sz w:val="32"/>
                <w:color w:val="424242"/>
                <w:shd w:fill="FFFFFF" w:val="clear"/>
              </w:rPr>
              <w:t>1.政治素质高，拥护党的理论和路线方针政策；</w:t>
            </w:r>
          </w:p>
          <w:p>
            <w:pPr>
              <w:pStyle w:val="null3"/>
              <w:ind w:firstLine="640"/>
              <w:jc w:val="left"/>
            </w:pPr>
            <w:r>
              <w:rPr>
                <w:rFonts w:ascii="仿宋_GB2312" w:hAnsi="仿宋_GB2312" w:cs="仿宋_GB2312" w:eastAsia="仿宋_GB2312"/>
                <w:sz w:val="32"/>
                <w:color w:val="424242"/>
                <w:shd w:fill="FFFFFF" w:val="clear"/>
              </w:rPr>
              <w:t>2.持有律师职业证书，专业能力较强，有担当；</w:t>
            </w:r>
          </w:p>
          <w:p>
            <w:pPr>
              <w:pStyle w:val="null3"/>
              <w:ind w:firstLine="640"/>
              <w:jc w:val="left"/>
            </w:pPr>
            <w:r>
              <w:rPr>
                <w:rFonts w:ascii="仿宋_GB2312" w:hAnsi="仿宋_GB2312" w:cs="仿宋_GB2312" w:eastAsia="仿宋_GB2312"/>
                <w:sz w:val="32"/>
                <w:color w:val="424242"/>
                <w:shd w:fill="FFFFFF" w:val="clear"/>
              </w:rPr>
              <w:t>3.严格遵纪守法，未受过刑事处罚和纪律处分，未受过司法行政部门的行政处罚或者律师协会的行业处分。</w:t>
            </w:r>
          </w:p>
          <w:p>
            <w:pPr>
              <w:pStyle w:val="null3"/>
              <w:ind w:firstLine="643"/>
              <w:jc w:val="left"/>
            </w:pPr>
            <w:r>
              <w:rPr>
                <w:rFonts w:ascii="仿宋_GB2312" w:hAnsi="仿宋_GB2312" w:cs="仿宋_GB2312" w:eastAsia="仿宋_GB2312"/>
                <w:sz w:val="32"/>
                <w:b/>
                <w:color w:val="424242"/>
                <w:shd w:fill="FFFFFF" w:val="clear"/>
              </w:rPr>
              <w:t>二、工作内容</w:t>
            </w:r>
          </w:p>
          <w:p>
            <w:pPr>
              <w:pStyle w:val="null3"/>
              <w:ind w:firstLine="640"/>
              <w:jc w:val="both"/>
            </w:pPr>
            <w:r>
              <w:rPr>
                <w:rFonts w:ascii="仿宋_GB2312" w:hAnsi="仿宋_GB2312" w:cs="仿宋_GB2312" w:eastAsia="仿宋_GB2312"/>
                <w:sz w:val="32"/>
                <w:color w:val="424242"/>
                <w:shd w:fill="FFFFFF" w:val="clear"/>
              </w:rPr>
              <w:t>1.承办行政诉讼、行政复议、调解、仲裁事务，包括但不限于担任委托代理人，起草答辩状或答复书，收集、整理证据资料，参加案件讨论，出具法律风险评估意见，按时提交答辩状、答复书、证据资料，案件执行事务等，上述事务的处理以办结为目标，不受合同到期或人员更换的影响；</w:t>
            </w:r>
          </w:p>
          <w:p>
            <w:pPr>
              <w:pStyle w:val="null3"/>
              <w:ind w:firstLine="640"/>
              <w:jc w:val="both"/>
            </w:pPr>
            <w:r>
              <w:rPr>
                <w:rFonts w:ascii="仿宋_GB2312" w:hAnsi="仿宋_GB2312" w:cs="仿宋_GB2312" w:eastAsia="仿宋_GB2312"/>
                <w:sz w:val="32"/>
                <w:color w:val="424242"/>
                <w:shd w:fill="FFFFFF" w:val="clear"/>
              </w:rPr>
              <w:t>2.对重大行政决策、行政行为、合同行为提供书面法律意见；</w:t>
            </w:r>
          </w:p>
          <w:p>
            <w:pPr>
              <w:pStyle w:val="null3"/>
              <w:ind w:firstLine="640"/>
              <w:jc w:val="both"/>
            </w:pPr>
            <w:r>
              <w:rPr>
                <w:rFonts w:ascii="仿宋_GB2312" w:hAnsi="仿宋_GB2312" w:cs="仿宋_GB2312" w:eastAsia="仿宋_GB2312"/>
                <w:sz w:val="32"/>
                <w:color w:val="424242"/>
                <w:shd w:fill="FFFFFF" w:val="clear"/>
              </w:rPr>
              <w:t>3.提供国家有关法律信息，对法律问题提供解答意见，对有关法律文书提出修改、补充意见；</w:t>
            </w:r>
          </w:p>
          <w:p>
            <w:pPr>
              <w:pStyle w:val="null3"/>
              <w:ind w:firstLine="640"/>
              <w:jc w:val="both"/>
            </w:pPr>
            <w:r>
              <w:rPr>
                <w:rFonts w:ascii="仿宋_GB2312" w:hAnsi="仿宋_GB2312" w:cs="仿宋_GB2312" w:eastAsia="仿宋_GB2312"/>
                <w:sz w:val="32"/>
                <w:color w:val="424242"/>
                <w:shd w:fill="FFFFFF" w:val="clear"/>
              </w:rPr>
              <w:t>4.参与起草分局文件并进行合法合规性审查，参与公平竞争会审并提供法律意见；</w:t>
            </w:r>
          </w:p>
          <w:p>
            <w:pPr>
              <w:pStyle w:val="null3"/>
              <w:ind w:firstLine="640"/>
              <w:jc w:val="both"/>
            </w:pPr>
            <w:r>
              <w:rPr>
                <w:rFonts w:ascii="仿宋_GB2312" w:hAnsi="仿宋_GB2312" w:cs="仿宋_GB2312" w:eastAsia="仿宋_GB2312"/>
                <w:sz w:val="32"/>
                <w:color w:val="424242"/>
                <w:shd w:fill="FFFFFF" w:val="clear"/>
              </w:rPr>
              <w:t>5.参与法制宣传活动，根据工作需要开展法律知识培训；</w:t>
            </w:r>
          </w:p>
          <w:p>
            <w:pPr>
              <w:pStyle w:val="null3"/>
              <w:ind w:firstLine="640"/>
              <w:jc w:val="both"/>
            </w:pPr>
            <w:r>
              <w:rPr>
                <w:rFonts w:ascii="仿宋_GB2312" w:hAnsi="仿宋_GB2312" w:cs="仿宋_GB2312" w:eastAsia="仿宋_GB2312"/>
                <w:sz w:val="32"/>
                <w:color w:val="424242"/>
                <w:shd w:fill="FFFFFF" w:val="clear"/>
              </w:rPr>
              <w:t>6.根据分局工作要求出具律师函或法律意见书、或通过公开媒体发表律师声明，维护分局的合法权益；</w:t>
            </w:r>
          </w:p>
          <w:p>
            <w:pPr>
              <w:pStyle w:val="null3"/>
              <w:ind w:firstLine="640"/>
              <w:jc w:val="both"/>
            </w:pPr>
            <w:r>
              <w:rPr>
                <w:rFonts w:ascii="仿宋_GB2312" w:hAnsi="仿宋_GB2312" w:cs="仿宋_GB2312" w:eastAsia="仿宋_GB2312"/>
                <w:sz w:val="32"/>
                <w:color w:val="424242"/>
                <w:shd w:fill="FFFFFF" w:val="clear"/>
              </w:rPr>
              <w:t>7.律师事务所应明确不少于两名符合选聘条件的执业律师处理我局的各类法律事务，禁止临时更换，如需更换要提前一周与分局联系，经分局同意后才可更换；</w:t>
            </w:r>
          </w:p>
          <w:p>
            <w:pPr>
              <w:pStyle w:val="null3"/>
              <w:ind w:firstLine="640"/>
              <w:jc w:val="both"/>
            </w:pPr>
            <w:r>
              <w:rPr>
                <w:rFonts w:ascii="仿宋_GB2312" w:hAnsi="仿宋_GB2312" w:cs="仿宋_GB2312" w:eastAsia="仿宋_GB2312"/>
                <w:sz w:val="32"/>
                <w:color w:val="424242"/>
                <w:shd w:fill="FFFFFF" w:val="clear"/>
              </w:rPr>
              <w:t>8.合同期限内，法规顾问应每周不少于2个工作日在分局集中处理上述工作，时间9:00—18:00；</w:t>
            </w:r>
          </w:p>
          <w:p>
            <w:pPr>
              <w:pStyle w:val="null3"/>
              <w:ind w:firstLine="640"/>
              <w:jc w:val="both"/>
            </w:pPr>
            <w:r>
              <w:rPr>
                <w:rFonts w:ascii="仿宋_GB2312" w:hAnsi="仿宋_GB2312" w:cs="仿宋_GB2312" w:eastAsia="仿宋_GB2312"/>
                <w:sz w:val="32"/>
                <w:color w:val="424242"/>
                <w:shd w:fill="FFFFFF" w:val="clear"/>
              </w:rPr>
              <w:t>9.按照分局工作要求，参与分局相关工作或其他法律事务。</w:t>
            </w:r>
          </w:p>
          <w:p>
            <w:pPr>
              <w:pStyle w:val="null3"/>
              <w:ind w:firstLine="643"/>
              <w:jc w:val="left"/>
            </w:pPr>
            <w:r>
              <w:rPr>
                <w:rFonts w:ascii="仿宋_GB2312" w:hAnsi="仿宋_GB2312" w:cs="仿宋_GB2312" w:eastAsia="仿宋_GB2312"/>
                <w:sz w:val="32"/>
                <w:b/>
                <w:color w:val="424242"/>
                <w:shd w:fill="FFFFFF" w:val="clear"/>
              </w:rPr>
              <w:t>三、服务期限及服务费用</w:t>
            </w:r>
          </w:p>
          <w:p>
            <w:pPr>
              <w:pStyle w:val="null3"/>
              <w:ind w:firstLine="640"/>
              <w:jc w:val="left"/>
            </w:pPr>
            <w:r>
              <w:rPr>
                <w:rFonts w:ascii="仿宋_GB2312" w:hAnsi="仿宋_GB2312" w:cs="仿宋_GB2312" w:eastAsia="仿宋_GB2312"/>
                <w:sz w:val="32"/>
                <w:color w:val="424242"/>
                <w:shd w:fill="FFFFFF" w:val="clear"/>
              </w:rPr>
              <w:t>（一）服务期限</w:t>
            </w:r>
          </w:p>
          <w:p>
            <w:pPr>
              <w:pStyle w:val="null3"/>
              <w:jc w:val="left"/>
            </w:pPr>
            <w:r>
              <w:rPr>
                <w:rFonts w:ascii="仿宋_GB2312" w:hAnsi="仿宋_GB2312" w:cs="仿宋_GB2312" w:eastAsia="仿宋_GB2312"/>
                <w:sz w:val="32"/>
                <w:color w:val="424242"/>
                <w:shd w:fill="FFFFFF" w:val="clear"/>
              </w:rPr>
              <w:t xml:space="preserve">    </w:t>
            </w:r>
            <w:r>
              <w:rPr>
                <w:rFonts w:ascii="仿宋_GB2312" w:hAnsi="仿宋_GB2312" w:cs="仿宋_GB2312" w:eastAsia="仿宋_GB2312"/>
                <w:sz w:val="32"/>
                <w:color w:val="424242"/>
                <w:shd w:fill="FFFFFF" w:val="clear"/>
              </w:rPr>
              <w:t>与选聘法律顾问律师事务所签订法律服务合同，合同期限为一年，具体日期以签订正式合同为准。</w:t>
            </w:r>
          </w:p>
          <w:p>
            <w:pPr>
              <w:pStyle w:val="null3"/>
              <w:ind w:firstLine="5440"/>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以最终签订的合同为准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合同服务六个月后，对前期服务进行考核，考核合格后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以最终签订的合同为准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该项目服务期满后，甲方对乙方进行验收，如验收不合格，乙方按照甲方要求整改，整改仍不合格，乙方向甲方支付合同总金额的10%的违约金。甲方对乙方履约情况作为后续采购的重要依据。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供应商资质证明文件.docx 中小企业声明函 残疾人福利性单位声明函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其它符合性审查</w:t>
            </w:r>
          </w:p>
        </w:tc>
        <w:tc>
          <w:tcPr>
            <w:tcW w:type="dxa" w:w="3322"/>
          </w:tcPr>
          <w:p>
            <w:pPr>
              <w:pStyle w:val="null3"/>
            </w:pPr>
            <w:r>
              <w:rPr>
                <w:rFonts w:ascii="仿宋_GB2312" w:hAnsi="仿宋_GB2312" w:cs="仿宋_GB2312" w:eastAsia="仿宋_GB2312"/>
              </w:rPr>
              <w:t>1、提供的资格证明文件是否符合国家法律法规和采购文件的要求，并且齐全、真实、有效； 2、响应文件是否按照采购文件要求的格式编写； 3、响应内容是否有重大缺漏项； 4、磋商报价是否具有唯一性； 5、响应文件的签署、加盖印章是否合格、有效； 6、磋商报价是否未超过采购预算； 7、磋商文件是否响应了采购文件要求的全部条款、条件和规格要求，并且提供了支持文件，没有重大偏离； 8、对合同中规定的双方的权利和义务是否做出了实质性响应。</w:t>
            </w:r>
          </w:p>
        </w:tc>
        <w:tc>
          <w:tcPr>
            <w:tcW w:type="dxa" w:w="1661"/>
          </w:tcPr>
          <w:p>
            <w:pPr>
              <w:pStyle w:val="null3"/>
            </w:pPr>
            <w:r>
              <w:rPr>
                <w:rFonts w:ascii="仿宋_GB2312" w:hAnsi="仿宋_GB2312" w:cs="仿宋_GB2312" w:eastAsia="仿宋_GB2312"/>
              </w:rPr>
              <w:t>响应文件封面 标的清单 商务偏离表.docx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供应商提供自2021年1月1日至今承担过的类似项目业绩，每个业绩得2分，最高得10分。 （注：提供合同首页、金额页、签字盖章页的合同扫描件并加盖供应商公章。同一主体的多期项目按一份计算。）</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1、根据供应商整体服务方案，项目范围及内容依据清晰，程序设置得当，具体方法科学合理，按其响应程度计0～10分； 2、根据供应商对工作过程中存在的重点、难点进行分析，重点、难点分析到位，按其响应程度计0～10分； 3、根据供应商各岗位员工作职责及岗位安排的科学、合理性，按其响应程度计0～5分； 4、根据供应商内部工作监督机制，对员工的考核评价机制，按其响应程度计0～5分； 5、根据供应商针对项目的沟通协调机制，具有完善的沟通管理体系、健全的管理制度，按其响应程度计0～5分； 6、根据供应商对本项目工作提出合理化建议，按其响应程度计0～5分； 7、根据供应商针对本项目提供的服务流程的完整性、业务分工的清晰程度、进度安排的合理紧凑性、工作实施的可行性等内容，按其响应程度计0～5分。</w:t>
            </w:r>
          </w:p>
        </w:tc>
        <w:tc>
          <w:tcPr>
            <w:tcW w:type="dxa" w:w="831"/>
          </w:tcPr>
          <w:p>
            <w:pPr>
              <w:pStyle w:val="null3"/>
              <w:jc w:val="right"/>
            </w:pPr>
            <w:r>
              <w:rPr>
                <w:rFonts w:ascii="仿宋_GB2312" w:hAnsi="仿宋_GB2312" w:cs="仿宋_GB2312" w:eastAsia="仿宋_GB2312"/>
              </w:rPr>
              <w:t>45.0000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1、根据针对服务内容的质量保障措施，具备科学、可行、合理性，按其响应程度计0-5分； 2、根据针对服务内容的廉洁、职业道德及保密保证措施、防控措施，根据合理性、科学性、针对性等方面，按其响应程度计0-5分； 3、根据针对服务内容的人员组织保障措施，根据合理性、科学性、针对性等方面，按其响应程度计0-5分； 4、供应商具有规范和完善的人事管理制度、财务管理制度、质量控制制度、业务管理制度、业务档案管理制度，按其响应程度计0-5分。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拟派律师团队专职律师5人及以上得5分，律师团队专职律师3-4人得3分，律师团队专职律师2人及以下得1分（有关专职人员必须与供应商有正式劳动关系，提供社保缴纳证明或劳动合同复印件、并提供拟派人员经年审通过的律师执业证书扫描件）； 2、拟派律师团队首席律师执业年限在15年（含）以上的得5分，9-14年的得3分，5（含）-8年的得 1分，5年以下不得分。 3、根据供应商针对本项目人员总体配备情况，项目组团队成人员资质优良，结合学历水平、相关专业证书、工作经验等因素，按其响应程度计0～5分。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满足竞争性磋商文件要求且最低的响应报价为评标基准价，其价格分为满分。其他供应商的价格分统一按照下列公式计算：磋商报价得分=（评标基准价/最后磋商报价）×价格权值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详见附件：响应方案说明.docx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详见附件：供应商资质证明文件.docx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详见附件：合同参考格式.docx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