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版本号：XAJG（ZFCG）-2025041420250520001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档案托管项目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XAJG（ZFCG）-20250414</w:t>
      </w:r>
      <w:r>
        <w:br/>
      </w:r>
      <w:r>
        <w:br/>
      </w:r>
      <w:r>
        <w:br/>
      </w:r>
    </w:p>
    <w:p>
      <w:pPr>
        <w:pStyle w:val="null3"/>
        <w:jc w:val="center"/>
        <w:outlineLvl w:val="2"/>
      </w:pPr>
      <w:r>
        <w:rPr>
          <w:rFonts w:ascii="仿宋_GB2312" w:hAnsi="仿宋_GB2312" w:cs="仿宋_GB2312" w:eastAsia="仿宋_GB2312"/>
          <w:sz w:val="28"/>
          <w:b/>
        </w:rPr>
        <w:t>西安市长安区人民法院[160]</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西安市长安区人民法院[160]</w:t>
      </w:r>
      <w:r>
        <w:rPr>
          <w:rFonts w:ascii="仿宋_GB2312" w:hAnsi="仿宋_GB2312" w:cs="仿宋_GB2312" w:eastAsia="仿宋_GB2312"/>
        </w:rPr>
        <w:t>委托，拟对</w:t>
      </w:r>
      <w:r>
        <w:rPr>
          <w:rFonts w:ascii="仿宋_GB2312" w:hAnsi="仿宋_GB2312" w:cs="仿宋_GB2312" w:eastAsia="仿宋_GB2312"/>
        </w:rPr>
        <w:t>档案托管项目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XAJG（ZFCG）-20250414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档案托管项目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西安市长安区人民法院档案托管。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采购包1（西安市长安区人民法院档案托管项目）：属于专门面向中小企业采购。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2、授权书：法定代表人（主要负责人）委托代理人参加磋商时，应提供法定代表人（主要负责人）委托授权书；法定代表人（主要负责人）亲自参加投标时，应提供法定代表人（主要负责人）身份证明书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3、财务状况报告：2023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p>
      <w:pPr>
        <w:pStyle w:val="null3"/>
      </w:pPr>
      <w:r>
        <w:rPr>
          <w:rFonts w:ascii="仿宋_GB2312" w:hAnsi="仿宋_GB2312" w:cs="仿宋_GB2312" w:eastAsia="仿宋_GB2312"/>
        </w:rPr>
        <w:t>4、税收缴纳证明：提交响应文件截止时间前一年内至少三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磋商现场查询）</w:t>
      </w:r>
    </w:p>
    <w:p>
      <w:pPr>
        <w:pStyle w:val="null3"/>
      </w:pPr>
      <w:r>
        <w:rPr>
          <w:rFonts w:ascii="仿宋_GB2312" w:hAnsi="仿宋_GB2312" w:cs="仿宋_GB2312" w:eastAsia="仿宋_GB2312"/>
        </w:rPr>
        <w:t>8、无重大违法说明：无重大违法说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资质证明：投标人须具备省级及以上国家保密局颁发的《国家秘密载体印制资质》乙级或以上资质，其中省外乙级资质投标人应当向陕西省保密行政管理部门备案，提供备案证明（甲级资质无需提供）。投标人须具有陕西省档案服务企业备案证书。</w:t>
      </w:r>
    </w:p>
    <w:p>
      <w:pPr>
        <w:pStyle w:val="null3"/>
      </w:pPr>
      <w:r>
        <w:rPr>
          <w:rFonts w:ascii="仿宋_GB2312" w:hAnsi="仿宋_GB2312" w:cs="仿宋_GB2312" w:eastAsia="仿宋_GB2312"/>
        </w:rPr>
        <w:t>10、联合体承诺书：本项目不接受联合体磋商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西安市长安区人民法院[160]</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西安市长安区西长安街141号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029-84165132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牛超、顾扬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采购预算为基础，参照《国家计委关于印发招标代理服务收费管理暂行办法的通知》（计价格〔2002〕1980号）和国家发改委办公厅颁发的《关于招标代理服务收费有关问题的通知》（发改办价格〔2003〕857号）文件，以及《国家发展改革委关于进一步放开建设项目专业服务价格的通知》（发改价格〔2015〕299号）规定标准计算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西安市长安区人民法院[160]</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西安市长安区人民法院[160]</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西安市长安区人民法院[160]</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联系人：牛超、顾扬</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西安市长安区人民法院档案托管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1,026,000.00</w:t>
      </w:r>
    </w:p>
    <w:p>
      <w:pPr>
        <w:pStyle w:val="null3"/>
      </w:pPr>
      <w:r>
        <w:rPr>
          <w:rFonts w:ascii="仿宋_GB2312" w:hAnsi="仿宋_GB2312" w:cs="仿宋_GB2312" w:eastAsia="仿宋_GB2312"/>
        </w:rPr>
        <w:t>采购包最高限价（元）: 1,026,000.00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档案托管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标的名称：档案托管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2.1.档案寄存要求：</w:t>
            </w:r>
          </w:p>
          <w:p>
            <w:pPr>
              <w:pStyle w:val="null3"/>
            </w:pPr>
            <w:r>
              <w:rPr>
                <w:rFonts w:ascii="仿宋_GB2312" w:hAnsi="仿宋_GB2312" w:cs="仿宋_GB2312" w:eastAsia="仿宋_GB2312"/>
                <w:sz w:val="24"/>
                <w:color w:val="000000"/>
              </w:rPr>
              <w:t>2.1.1.执行标准文件</w:t>
            </w:r>
          </w:p>
          <w:p>
            <w:pPr>
              <w:pStyle w:val="null3"/>
            </w:pPr>
            <w:r>
              <w:rPr>
                <w:rFonts w:ascii="仿宋_GB2312" w:hAnsi="仿宋_GB2312" w:cs="仿宋_GB2312" w:eastAsia="仿宋_GB2312"/>
                <w:sz w:val="24"/>
                <w:color w:val="000000"/>
              </w:rPr>
              <w:t>参照执行的标准文件（包含但不限于）：《档案馆温湿度管理暂行规定》、《档案虫霉防治一般规则》、《中华人民共和国消防法》。</w:t>
            </w:r>
          </w:p>
          <w:p>
            <w:pPr>
              <w:pStyle w:val="null3"/>
            </w:pPr>
            <w:r>
              <w:rPr>
                <w:rFonts w:ascii="仿宋_GB2312" w:hAnsi="仿宋_GB2312" w:cs="仿宋_GB2312" w:eastAsia="仿宋_GB2312"/>
                <w:sz w:val="24"/>
                <w:color w:val="000000"/>
              </w:rPr>
              <w:t>2.1.2.库房环境要求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1）库房温度全年符合要求；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2）密闭：库房的门窗采取相应措施，在门窗框上嵌橡皮条、绒布条等填塞物；玻璃四周嵌油灰、双层窗；安装防光窗帘；</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3）通风：根据室外相对湿度变化规律适时地进行通风；</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4）控温：安装有风扇和空调，调节库房内温度均匀，方便且安全有效。使档案库温度保持在14—24℃之间；</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5）除湿：鉴于档案的特点，供应商需提供相应的除湿工作。</w:t>
            </w:r>
          </w:p>
          <w:p>
            <w:pPr>
              <w:pStyle w:val="null3"/>
            </w:pPr>
            <w:r>
              <w:rPr>
                <w:rFonts w:ascii="仿宋_GB2312" w:hAnsi="仿宋_GB2312" w:cs="仿宋_GB2312" w:eastAsia="仿宋_GB2312"/>
                <w:sz w:val="24"/>
                <w:color w:val="000000"/>
              </w:rPr>
              <w:t>2.1.3.虫（鼠）霉的防护要求</w:t>
            </w:r>
          </w:p>
          <w:p>
            <w:pPr>
              <w:pStyle w:val="null3"/>
            </w:pPr>
            <w:r>
              <w:rPr>
                <w:rFonts w:ascii="仿宋_GB2312" w:hAnsi="仿宋_GB2312" w:cs="仿宋_GB2312" w:eastAsia="仿宋_GB2312"/>
                <w:sz w:val="24"/>
                <w:color w:val="000000"/>
              </w:rPr>
              <w:t>每周进行一次库房内、库房外的清洁卫生。库房门口安装防鼠板，库房内不准堆放任何杂物。</w:t>
            </w:r>
          </w:p>
          <w:p>
            <w:pPr>
              <w:pStyle w:val="null3"/>
            </w:pPr>
            <w:r>
              <w:rPr>
                <w:rFonts w:ascii="仿宋_GB2312" w:hAnsi="仿宋_GB2312" w:cs="仿宋_GB2312" w:eastAsia="仿宋_GB2312"/>
                <w:sz w:val="24"/>
                <w:color w:val="000000"/>
              </w:rPr>
              <w:t>发现虫害应及时处理。必须立即对库存档案进行清查，确认发生虫害的种类、程度及分布，采取有效措施杀虫。对于那些已确认有虫害的档案，应立即加以隔离处理，防止虫害大面积扩散。</w:t>
            </w:r>
          </w:p>
          <w:p>
            <w:pPr>
              <w:pStyle w:val="null3"/>
            </w:pPr>
            <w:r>
              <w:rPr>
                <w:rFonts w:ascii="仿宋_GB2312" w:hAnsi="仿宋_GB2312" w:cs="仿宋_GB2312" w:eastAsia="仿宋_GB2312"/>
                <w:sz w:val="24"/>
                <w:color w:val="000000"/>
              </w:rPr>
              <w:t>2.1.4.防水(潮)要求</w:t>
            </w:r>
          </w:p>
          <w:p>
            <w:pPr>
              <w:pStyle w:val="null3"/>
            </w:pPr>
            <w:r>
              <w:rPr>
                <w:rFonts w:ascii="仿宋_GB2312" w:hAnsi="仿宋_GB2312" w:cs="仿宋_GB2312" w:eastAsia="仿宋_GB2312"/>
                <w:sz w:val="24"/>
                <w:color w:val="000000"/>
              </w:rPr>
              <w:t>档案库房顶设计合理的通畅渠道和管路走水，应实施双层卷材的渗水防漏处理，每年春季进行检查和养护。</w:t>
            </w:r>
          </w:p>
          <w:p>
            <w:pPr>
              <w:pStyle w:val="null3"/>
            </w:pPr>
            <w:r>
              <w:rPr>
                <w:rFonts w:ascii="仿宋_GB2312" w:hAnsi="仿宋_GB2312" w:cs="仿宋_GB2312" w:eastAsia="仿宋_GB2312"/>
                <w:sz w:val="24"/>
                <w:color w:val="000000"/>
              </w:rPr>
              <w:t>为防止潮气由墙体渗入档案库，外墙定期实施防水涂料的防潮层刮涂处理。</w:t>
            </w:r>
          </w:p>
          <w:p>
            <w:pPr>
              <w:pStyle w:val="null3"/>
            </w:pPr>
            <w:r>
              <w:rPr>
                <w:rFonts w:ascii="仿宋_GB2312" w:hAnsi="仿宋_GB2312" w:cs="仿宋_GB2312" w:eastAsia="仿宋_GB2312"/>
                <w:sz w:val="24"/>
                <w:color w:val="000000"/>
              </w:rPr>
              <w:t>2.1.5.防尘要求</w:t>
            </w:r>
          </w:p>
          <w:p>
            <w:pPr>
              <w:pStyle w:val="null3"/>
            </w:pPr>
            <w:r>
              <w:rPr>
                <w:rFonts w:ascii="仿宋_GB2312" w:hAnsi="仿宋_GB2312" w:cs="仿宋_GB2312" w:eastAsia="仿宋_GB2312"/>
                <w:sz w:val="24"/>
                <w:color w:val="000000"/>
              </w:rPr>
              <w:t>档案盒装入档案专用档案箱，档案得到双层防尘保护。</w:t>
            </w:r>
          </w:p>
          <w:p>
            <w:pPr>
              <w:pStyle w:val="null3"/>
            </w:pPr>
            <w:r>
              <w:rPr>
                <w:rFonts w:ascii="仿宋_GB2312" w:hAnsi="仿宋_GB2312" w:cs="仿宋_GB2312" w:eastAsia="仿宋_GB2312"/>
                <w:sz w:val="24"/>
                <w:color w:val="000000"/>
              </w:rPr>
              <w:t>2.1.6.防火要求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1）专业货架内无电源、热源，具有防火功能；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2）库房电线全部经过走线钢管，无电线在外，并且安装电线漏电断电装置，最大防止因电线、电路引起的起火隐患；各种电气设备应定期检查，如发现电线绝缘有破坏、漏电和其它故障应立即修理；</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3）库房明令禁止烟火；严禁在库房内放置易燃、易爆或其他危险物品；</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4）定期组织防火检查，及时消除火灾隐患；</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5）按照国家有关规定配置消防设施和器材、设置消防安全标志，并定期组织检验、维修，确保消防设施和器材完好、有效；</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6）保障疏散通道、安全出口畅通，并设置符合国家规定的消防安全疏散标志；</w:t>
            </w:r>
          </w:p>
          <w:p>
            <w:pPr>
              <w:pStyle w:val="null3"/>
            </w:pPr>
            <w:r>
              <w:rPr>
                <w:rFonts w:ascii="仿宋_GB2312" w:hAnsi="仿宋_GB2312" w:cs="仿宋_GB2312" w:eastAsia="仿宋_GB2312"/>
                <w:sz w:val="24"/>
                <w:color w:val="000000"/>
              </w:rPr>
              <w:t>2.1.7.防盗要求</w:t>
            </w:r>
          </w:p>
          <w:p>
            <w:pPr>
              <w:pStyle w:val="null3"/>
            </w:pPr>
            <w:r>
              <w:rPr>
                <w:rFonts w:ascii="仿宋_GB2312" w:hAnsi="仿宋_GB2312" w:cs="仿宋_GB2312" w:eastAsia="仿宋_GB2312"/>
                <w:sz w:val="24"/>
                <w:color w:val="000000"/>
              </w:rPr>
              <w:t>装有防盗门，窗户为双窗并加装防盗网。</w:t>
            </w:r>
          </w:p>
          <w:p>
            <w:pPr>
              <w:pStyle w:val="null3"/>
            </w:pPr>
            <w:r>
              <w:rPr>
                <w:rFonts w:ascii="仿宋_GB2312" w:hAnsi="仿宋_GB2312" w:cs="仿宋_GB2312" w:eastAsia="仿宋_GB2312"/>
                <w:sz w:val="24"/>
                <w:color w:val="000000"/>
              </w:rPr>
              <w:t>2.1.8.防光要求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1）减少阳光危害。档案库房设置的窗户少、基本不见自然光,双层加装防光窗帘；</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2）档案盒和档案保管箱双层防光；</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3）选择合适的照明光源。库内照明光源选用防爆白炽灯；</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4）合理确定库房照度标准。档案库房照度确定保持在能够看清的水平，定为50勒（克司）左右。</w:t>
            </w:r>
          </w:p>
          <w:p>
            <w:pPr>
              <w:pStyle w:val="null3"/>
            </w:pPr>
            <w:r>
              <w:rPr>
                <w:rFonts w:ascii="仿宋_GB2312" w:hAnsi="仿宋_GB2312" w:cs="仿宋_GB2312" w:eastAsia="仿宋_GB2312"/>
                <w:sz w:val="24"/>
                <w:color w:val="000000"/>
              </w:rPr>
              <w:t>2.2.保密档案寄存要求：</w:t>
            </w:r>
          </w:p>
          <w:p>
            <w:pPr>
              <w:pStyle w:val="null3"/>
            </w:pPr>
            <w:r>
              <w:rPr>
                <w:rFonts w:ascii="仿宋_GB2312" w:hAnsi="仿宋_GB2312" w:cs="仿宋_GB2312" w:eastAsia="仿宋_GB2312"/>
                <w:sz w:val="24"/>
                <w:color w:val="000000"/>
              </w:rPr>
              <w:t>2.2.1.保密档案必须严格履行审批、清点、登记、签收等手续；</w:t>
            </w:r>
          </w:p>
          <w:p>
            <w:pPr>
              <w:pStyle w:val="null3"/>
            </w:pPr>
            <w:r>
              <w:rPr>
                <w:rFonts w:ascii="仿宋_GB2312" w:hAnsi="仿宋_GB2312" w:cs="仿宋_GB2312" w:eastAsia="仿宋_GB2312"/>
                <w:sz w:val="24"/>
                <w:color w:val="000000"/>
              </w:rPr>
              <w:t>2.2.2.保密档案必须实行专人保管，专册登记，专柜存放，个人不得私自保存涉密文件资料，阅办保密档案必须在办公室或者安全保密的场所进行；</w:t>
            </w:r>
          </w:p>
          <w:p>
            <w:pPr>
              <w:pStyle w:val="null3"/>
            </w:pPr>
            <w:r>
              <w:rPr>
                <w:rFonts w:ascii="仿宋_GB2312" w:hAnsi="仿宋_GB2312" w:cs="仿宋_GB2312" w:eastAsia="仿宋_GB2312"/>
                <w:sz w:val="24"/>
                <w:color w:val="000000"/>
              </w:rPr>
              <w:t>2.2.3.保密档案不经甲方同意，不得自行扩大阅读范围，不得自行复印、翻印或转载，不得向规定范围以外的人员泄露；</w:t>
            </w:r>
          </w:p>
          <w:p>
            <w:pPr>
              <w:pStyle w:val="null3"/>
            </w:pPr>
            <w:r>
              <w:rPr>
                <w:rFonts w:ascii="仿宋_GB2312" w:hAnsi="仿宋_GB2312" w:cs="仿宋_GB2312" w:eastAsia="仿宋_GB2312"/>
                <w:sz w:val="24"/>
                <w:color w:val="000000"/>
              </w:rPr>
              <w:t>2.2.4.保密档案确因工作需要携带外出调档的，需采取相应的保密措施。不准在公共场所停留、游览、购物、探亲访友等，送至甲方单位需交由专人保管，返回单位后要及时交保密员保管，确保秘密安全。</w:t>
            </w:r>
          </w:p>
          <w:p>
            <w:pPr>
              <w:pStyle w:val="null3"/>
            </w:pPr>
            <w:r>
              <w:rPr>
                <w:rFonts w:ascii="仿宋_GB2312" w:hAnsi="仿宋_GB2312" w:cs="仿宋_GB2312" w:eastAsia="仿宋_GB2312"/>
                <w:sz w:val="24"/>
                <w:color w:val="000000"/>
              </w:rPr>
              <w:t>3.服务、产品（如有）执行的标准、规范：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1）国家标准、规范/；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2）行业标准、规范/；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3）地方标准、规范/；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4）团体标准、规范/；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5）企业标准、规范/。</w:t>
            </w:r>
          </w:p>
          <w:p>
            <w:pPr>
              <w:pStyle w:val="null3"/>
            </w:pPr>
            <w:r>
              <w:rPr>
                <w:rFonts w:ascii="仿宋_GB2312" w:hAnsi="仿宋_GB2312" w:cs="仿宋_GB2312" w:eastAsia="仿宋_GB2312"/>
                <w:sz w:val="24"/>
                <w:color w:val="000000"/>
              </w:rPr>
              <w:t>4.本章1条款未明确服务（产品）执行标准、规范的，按下列方法进行选择：</w:t>
            </w:r>
          </w:p>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顺序执行：国家标准→行业标准→地方标准→团体标准→企业标准（有国家标准按国家标准执行，没有国家标准按行业标准，以此类推）；</w:t>
            </w:r>
          </w:p>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最高标准执行：国家标准，行业标准，地方标准，团体标准，企业标准（那个标准高执行那个标准）</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必须执行：国家（行业）强制性标准。</w:t>
            </w:r>
          </w:p>
          <w:p>
            <w:pPr>
              <w:pStyle w:val="null3"/>
            </w:pPr>
            <w:r>
              <w:rPr>
                <w:rFonts w:ascii="仿宋_GB2312" w:hAnsi="仿宋_GB2312" w:cs="仿宋_GB2312" w:eastAsia="仿宋_GB2312"/>
                <w:sz w:val="24"/>
                <w:color w:val="000000"/>
              </w:rPr>
              <w:t>三、商务要求</w:t>
            </w:r>
          </w:p>
          <w:p>
            <w:pPr>
              <w:pStyle w:val="null3"/>
            </w:pPr>
            <w:r>
              <w:rPr>
                <w:rFonts w:ascii="仿宋_GB2312" w:hAnsi="仿宋_GB2312" w:cs="仿宋_GB2312" w:eastAsia="仿宋_GB2312"/>
                <w:sz w:val="24"/>
                <w:color w:val="000000"/>
              </w:rPr>
              <w:t>3.1服务期限：合同签订之日起一年。</w:t>
            </w:r>
          </w:p>
          <w:p>
            <w:pPr>
              <w:pStyle w:val="null3"/>
            </w:pPr>
            <w:r>
              <w:rPr>
                <w:rFonts w:ascii="仿宋_GB2312" w:hAnsi="仿宋_GB2312" w:cs="仿宋_GB2312" w:eastAsia="仿宋_GB2312"/>
                <w:sz w:val="24"/>
                <w:color w:val="000000"/>
              </w:rPr>
              <w:t>3.2服务地点：采购人指定地点。</w:t>
            </w:r>
          </w:p>
          <w:p>
            <w:pPr>
              <w:pStyle w:val="null3"/>
            </w:pPr>
            <w:r>
              <w:rPr>
                <w:rFonts w:ascii="仿宋_GB2312" w:hAnsi="仿宋_GB2312" w:cs="仿宋_GB2312" w:eastAsia="仿宋_GB2312"/>
                <w:sz w:val="24"/>
                <w:color w:val="000000"/>
              </w:rPr>
              <w:t>3.3采购最高限价：</w:t>
            </w:r>
          </w:p>
          <w:p>
            <w:pPr>
              <w:pStyle w:val="null3"/>
            </w:pPr>
            <w:r>
              <w:rPr>
                <w:rFonts w:ascii="仿宋_GB2312" w:hAnsi="仿宋_GB2312" w:cs="仿宋_GB2312" w:eastAsia="仿宋_GB2312"/>
                <w:sz w:val="24"/>
                <w:color w:val="000000"/>
              </w:rPr>
              <w:t>采购包最高限价（元）：</w:t>
            </w:r>
            <w:r>
              <w:rPr>
                <w:rFonts w:ascii="仿宋_GB2312" w:hAnsi="仿宋_GB2312" w:cs="仿宋_GB2312" w:eastAsia="仿宋_GB2312"/>
                <w:sz w:val="24"/>
                <w:color w:val="000000"/>
              </w:rPr>
              <w:t>1026000.00</w:t>
            </w:r>
          </w:p>
          <w:p>
            <w:pPr>
              <w:pStyle w:val="null3"/>
            </w:pPr>
            <w:r>
              <w:rPr>
                <w:rFonts w:ascii="仿宋_GB2312" w:hAnsi="仿宋_GB2312" w:cs="仿宋_GB2312" w:eastAsia="仿宋_GB2312"/>
                <w:sz w:val="24"/>
                <w:color w:val="000000"/>
              </w:rPr>
              <w:t>采购包单价限价：</w:t>
            </w:r>
            <w:r>
              <w:rPr>
                <w:rFonts w:ascii="仿宋_GB2312" w:hAnsi="仿宋_GB2312" w:cs="仿宋_GB2312" w:eastAsia="仿宋_GB2312"/>
                <w:sz w:val="24"/>
                <w:color w:val="000000"/>
              </w:rPr>
              <w:t>50</w:t>
            </w:r>
            <w:r>
              <w:rPr>
                <w:rFonts w:ascii="仿宋_GB2312" w:hAnsi="仿宋_GB2312" w:cs="仿宋_GB2312" w:eastAsia="仿宋_GB2312"/>
                <w:sz w:val="24"/>
                <w:color w:val="000000"/>
              </w:rPr>
              <w:t>元</w:t>
            </w:r>
            <w:r>
              <w:rPr>
                <w:rFonts w:ascii="仿宋_GB2312" w:hAnsi="仿宋_GB2312" w:cs="仿宋_GB2312" w:eastAsia="仿宋_GB2312"/>
                <w:sz w:val="24"/>
                <w:color w:val="000000"/>
              </w:rPr>
              <w:t>/箱/</w:t>
            </w:r>
            <w:r>
              <w:rPr>
                <w:rFonts w:ascii="仿宋_GB2312" w:hAnsi="仿宋_GB2312" w:cs="仿宋_GB2312" w:eastAsia="仿宋_GB2312"/>
                <w:sz w:val="24"/>
                <w:color w:val="000000"/>
              </w:rPr>
              <w:t>年。</w:t>
            </w:r>
            <w:r>
              <w:rPr>
                <w:rFonts w:ascii="仿宋_GB2312" w:hAnsi="仿宋_GB2312" w:cs="仿宋_GB2312" w:eastAsia="仿宋_GB2312"/>
                <w:sz w:val="24"/>
                <w:color w:val="000000"/>
              </w:rPr>
              <w:t>（本项目报单价进行评审和最终结算，结算累计金额直至服务期结束后完结。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针对本项目所提供的实施团队信息，人员清单及专业能力（须提供相关工作经验、相关资质等证明材料）满足实际业务需求，组织架构，岗位职责等内容。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提供本项目投入的设备配置情况，结合相关技术支持材料，满足档案管理项目设备配置数量、设备先进、设备使用安全性</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其内容包括采购文件以及响应文件中所有服务内容，以及质量是否达到现行国家有关验收规范“合格”标准、是否按照采购人要求实施、是否按照采购人要求提供相关培训、是否在规定时间内完成工作。 1.服务内容和质量最终验收达不到采购文件要求和响应文件承诺的，或在项目实施中发现采购人不能容忍的缺陷等，将视为验收不合格，供应商应在采购人要求的时间内无条件免费进行整改。 2.验收标准：按采购文件、响应文件及澄清函等进行验收。 3.验收合格后，填写验收单，双方签字生效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本项目签订合同后15个工作日内，甲方向乙方支付合同总价 40% 的价款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剩余的60%按照每月实际托管数量，经甲方确认后，每月15日据实结算上月价款。最终支付总价款不得超过项目预算金额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一、违约责任： 1、甲乙双方必须遵守本合同并执行合同中的各项规定，保证本合同的正常 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二、合同争议解决的方式：本合同在履行过程中发生的争议，由甲、乙双方当事人协商解决，协商不成的依法向向西安仲裁委员会按其仲裁规则申请仲裁。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法定代表人身份证明、法人授权委托书.docx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年度经审计的财务会计报告（至少包括审计报告、资产负债表、现金流量表和利润表，成立时间至提交响应文件截止时间不足一年的可提供成立后任意时段的资产负债表）或提交响应文件截止时间前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三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具有履行本合同所必需的设备和专业技术能力的书面声明.docx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磋商现场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无重大违法说明：参加本次政府采购活动前3年内在经营活动中没有重大违法记录，以及未被列入失信被执行人、重大税收违法案件当事人名单、政府采购严重违法失信行为记录名单的书面声明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供应商资格证明文件.docx 响应函 供应商承诺书.docx 供应商无重大违法记录书面声明.docx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投标人须具备省级及以上国家保密局颁发的《国家秘密载体印制资质》乙级或以上资质，其中省外乙级资质投标人应当向陕西省保密行政管理部门备案，提供备案证明（甲级资质无需提供）。投标人须具有陕西省档案服务企业备案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 盖章。</w:t>
            </w:r>
          </w:p>
        </w:tc>
        <w:tc>
          <w:tcPr>
            <w:tcW w:type="dxa" w:w="1661"/>
          </w:tcPr>
          <w:p>
            <w:pPr>
              <w:pStyle w:val="null3"/>
            </w:pPr>
            <w:r>
              <w:rPr>
                <w:rFonts w:ascii="仿宋_GB2312" w:hAnsi="仿宋_GB2312" w:cs="仿宋_GB2312" w:eastAsia="仿宋_GB2312"/>
              </w:rPr>
              <w:t>服务内容及服务邀请应答表 中小企业声明函 商务应答表 类似业绩情况.docx 报价表 具有履行本合同所必需的设备和专业技术能力的书面声明.docx 供应商承诺书.docx 供应商无重大违法记录书面声明.docx 响应文件封面 残疾人福利性单位声明函 标的清单 供应商资格证明文件.docx 法定代表人身份证明、法人授权委托书.docx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报价唯一，且没有高于采购预算或磋商文件规定的最高限价（含单价限价）。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服务内容及服务邀请应答表 商务应答表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服务方案完整、科学、合理得8分； 服务方案较完整、科学、合理得6分； 服务方案不完整、不科学、不合理得4分；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档案库防护措施</w:t>
            </w:r>
          </w:p>
        </w:tc>
        <w:tc>
          <w:tcPr>
            <w:tcW w:type="dxa" w:w="2492"/>
          </w:tcPr>
          <w:p>
            <w:pPr>
              <w:pStyle w:val="null3"/>
            </w:pPr>
            <w:r>
              <w:rPr>
                <w:rFonts w:ascii="仿宋_GB2312" w:hAnsi="仿宋_GB2312" w:cs="仿宋_GB2312" w:eastAsia="仿宋_GB2312"/>
              </w:rPr>
              <w:t>档案库防护措施包含不限于①档案库温湿度管理、②防水、③防虫、④防霉、⑤防尘、⑥防火、⑦防盗、⑧防光等措施，每提供一项措施得0.5分，满分4分。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保密制度完整、科学、具有针对性得5分； 保密制度较完整、科学得3分； 保密制度不完整、不科学得1分；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针对本项目管理特点组织架构完善，管理职责及分工明确的得5分； 组织架构较清晰，管理职责及分工基本明确的得3分； 组织架构不明确清晰，管理职责及分工不明确的得1分；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售后服务计划完善、有固定服务队伍、服务标准明确清晰得10分； 售后服务计划较完善、有固定服务队伍、服务标准较明确清晰得7分； 售后服务计划不完善、没有有固定服务队伍、服务标准不明确清晰得4分；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售后服务响应承诺</w:t>
            </w:r>
          </w:p>
        </w:tc>
        <w:tc>
          <w:tcPr>
            <w:tcW w:type="dxa" w:w="2492"/>
          </w:tcPr>
          <w:p>
            <w:pPr>
              <w:pStyle w:val="null3"/>
            </w:pPr>
            <w:r>
              <w:rPr>
                <w:rFonts w:ascii="仿宋_GB2312" w:hAnsi="仿宋_GB2312" w:cs="仿宋_GB2312" w:eastAsia="仿宋_GB2312"/>
              </w:rPr>
              <w:t>响应时间≤1小时得6分； 1小时&lt;响应时间≤2 小时得3分； 响应时间&gt;2小时或未提供承诺不得分。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档案托管库房</w:t>
            </w:r>
          </w:p>
        </w:tc>
        <w:tc>
          <w:tcPr>
            <w:tcW w:type="dxa" w:w="2492"/>
          </w:tcPr>
          <w:p>
            <w:pPr>
              <w:pStyle w:val="null3"/>
            </w:pPr>
            <w:r>
              <w:rPr>
                <w:rFonts w:ascii="仿宋_GB2312" w:hAnsi="仿宋_GB2312" w:cs="仿宋_GB2312" w:eastAsia="仿宋_GB2312"/>
              </w:rPr>
              <w:t>档案托管库房面积在≥2000㎡得10分； 2000㎡&gt;库房面积≥1000 ㎡得7分； 1000㎡&gt;库房面积≥500 ㎡得4分； 库房面积&lt;500㎡或不提供不得分。（以上需提供租房合同或自有产权证明文件复印件并加盖公章）。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针对本项目档案托管库房使用面积</w:t>
            </w:r>
          </w:p>
        </w:tc>
        <w:tc>
          <w:tcPr>
            <w:tcW w:type="dxa" w:w="2492"/>
          </w:tcPr>
          <w:p>
            <w:pPr>
              <w:pStyle w:val="null3"/>
            </w:pPr>
            <w:r>
              <w:rPr>
                <w:rFonts w:ascii="仿宋_GB2312" w:hAnsi="仿宋_GB2312" w:cs="仿宋_GB2312" w:eastAsia="仿宋_GB2312"/>
              </w:rPr>
              <w:t>库房使用面积占比≥70%得5分； 70%&gt;库房使用面积占比≥60%得3分；60%&gt;库房使用面积占比≥50%得1分；库房使用面积占比&lt;50%或不提供不得分。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供应商提供质量管理体系认证得2分；信息安全管理体系认证证书得2分；环境管理体系认证证书得2分；信息技术服务管理体系认证证书得2分；满分8分，所有证书需在全国认证认可信息公共服务平台（http://cx.cnca.cn/CertECloud/index/index/page)上能查询到，并在响应文件中附上相应网站截图，同时提供上述证书的复印件，未全提供的该证书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提供2021年1月至今的类似业绩(以签订合同时间为准），提供合同复印件并加盖公章，每个计3分，满分15分。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荣誉表彰</w:t>
            </w:r>
          </w:p>
        </w:tc>
        <w:tc>
          <w:tcPr>
            <w:tcW w:type="dxa" w:w="2492"/>
          </w:tcPr>
          <w:p>
            <w:pPr>
              <w:pStyle w:val="null3"/>
            </w:pPr>
            <w:r>
              <w:rPr>
                <w:rFonts w:ascii="仿宋_GB2312" w:hAnsi="仿宋_GB2312" w:cs="仿宋_GB2312" w:eastAsia="仿宋_GB2312"/>
              </w:rPr>
              <w:t>2000年以来，获得关于档案管理类的表彰或优秀单位称号的，提供表彰证书复印件并加盖公章，每个计1分，满分4分。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各有效供应商的评审价中，取最低者作为基准价，各有效供应商的价格评分统一按照下列公式计算：价格评分＝（基准价÷评审价） ×价格分分值。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详见附件：法定代表人身份证明、法人授权委托书.docx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详见附件：类似业绩情况.docx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