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F8D1A">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仿宋" w:hAnsi="仿宋" w:eastAsia="仿宋" w:cs="仿宋"/>
          <w:b/>
          <w:bCs/>
          <w:spacing w:val="-6"/>
          <w:kern w:val="2"/>
          <w:sz w:val="44"/>
          <w:szCs w:val="52"/>
          <w:lang w:val="en-US" w:eastAsia="zh-CN" w:bidi="ar"/>
        </w:rPr>
      </w:pPr>
    </w:p>
    <w:p w14:paraId="401EE2A3">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仿宋" w:hAnsi="仿宋" w:eastAsia="仿宋" w:cs="仿宋"/>
          <w:b/>
          <w:bCs/>
          <w:spacing w:val="-6"/>
          <w:kern w:val="2"/>
          <w:sz w:val="44"/>
          <w:szCs w:val="52"/>
          <w:lang w:val="en-US" w:eastAsia="zh-CN" w:bidi="ar"/>
        </w:rPr>
      </w:pPr>
    </w:p>
    <w:p w14:paraId="4C321938">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仿宋" w:hAnsi="仿宋" w:eastAsia="仿宋" w:cs="仿宋"/>
          <w:b/>
          <w:bCs/>
          <w:spacing w:val="-6"/>
          <w:kern w:val="2"/>
          <w:sz w:val="44"/>
          <w:szCs w:val="52"/>
          <w:lang w:val="en-US" w:eastAsia="zh-CN" w:bidi="ar"/>
        </w:rPr>
      </w:pPr>
    </w:p>
    <w:p w14:paraId="16947758">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仿宋" w:hAnsi="仿宋" w:eastAsia="仿宋" w:cs="仿宋"/>
          <w:b/>
          <w:bCs/>
          <w:spacing w:val="-6"/>
          <w:sz w:val="44"/>
          <w:szCs w:val="52"/>
          <w:lang w:val="en-US"/>
        </w:rPr>
      </w:pPr>
      <w:bookmarkStart w:id="52" w:name="_GoBack"/>
      <w:bookmarkEnd w:id="52"/>
      <w:r>
        <w:rPr>
          <w:rFonts w:hint="eastAsia" w:ascii="仿宋" w:hAnsi="仿宋" w:eastAsia="仿宋" w:cs="仿宋"/>
          <w:b/>
          <w:bCs/>
          <w:spacing w:val="-6"/>
          <w:kern w:val="2"/>
          <w:sz w:val="44"/>
          <w:szCs w:val="52"/>
          <w:lang w:val="en-US" w:eastAsia="zh-CN" w:bidi="ar"/>
        </w:rPr>
        <w:t>医疗废物集中处置项目</w:t>
      </w:r>
    </w:p>
    <w:p w14:paraId="665972C5">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spacing w:val="26"/>
          <w:sz w:val="36"/>
          <w:szCs w:val="36"/>
          <w:lang w:val="en-US"/>
        </w:rPr>
      </w:pPr>
    </w:p>
    <w:p w14:paraId="7D42BA42">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spacing w:val="26"/>
          <w:sz w:val="84"/>
          <w:szCs w:val="84"/>
          <w:lang w:val="en-US"/>
        </w:rPr>
      </w:pPr>
    </w:p>
    <w:p w14:paraId="7BD5C56A">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sz w:val="84"/>
          <w:szCs w:val="84"/>
          <w:lang w:val="en-US"/>
        </w:rPr>
      </w:pPr>
      <w:r>
        <w:rPr>
          <w:rFonts w:hint="eastAsia" w:ascii="仿宋" w:hAnsi="仿宋" w:eastAsia="仿宋" w:cs="仿宋"/>
          <w:b/>
          <w:bCs/>
          <w:kern w:val="2"/>
          <w:sz w:val="84"/>
          <w:szCs w:val="84"/>
          <w:lang w:val="en-US" w:eastAsia="zh-CN" w:bidi="ar"/>
        </w:rPr>
        <w:t>服务合同</w:t>
      </w:r>
    </w:p>
    <w:p w14:paraId="2F547C5E">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spacing w:val="26"/>
          <w:sz w:val="36"/>
          <w:szCs w:val="36"/>
          <w:lang w:val="en-US"/>
        </w:rPr>
      </w:pPr>
      <w:r>
        <w:rPr>
          <w:rFonts w:hint="eastAsia" w:ascii="仿宋" w:hAnsi="仿宋" w:eastAsia="仿宋" w:cs="仿宋"/>
          <w:b/>
          <w:bCs/>
          <w:kern w:val="2"/>
          <w:sz w:val="32"/>
          <w:szCs w:val="32"/>
          <w:lang w:val="en-US" w:eastAsia="zh-CN" w:bidi="ar"/>
        </w:rPr>
        <w:t>项目编号：</w:t>
      </w:r>
      <w:r>
        <w:rPr>
          <w:rFonts w:hint="eastAsia" w:ascii="仿宋" w:hAnsi="仿宋" w:eastAsia="仿宋" w:cs="仿宋"/>
          <w:b/>
          <w:bCs/>
          <w:spacing w:val="26"/>
          <w:kern w:val="2"/>
          <w:sz w:val="36"/>
          <w:szCs w:val="36"/>
          <w:lang w:val="en-US" w:eastAsia="zh-CN" w:bidi="ar"/>
        </w:rPr>
        <w:t xml:space="preserve"> </w:t>
      </w:r>
    </w:p>
    <w:p w14:paraId="415C3E73">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val="0"/>
          <w:sz w:val="32"/>
          <w:szCs w:val="32"/>
          <w:lang w:val="en-US"/>
        </w:rPr>
      </w:pPr>
    </w:p>
    <w:p w14:paraId="6C4BD334">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val="0"/>
          <w:sz w:val="32"/>
          <w:szCs w:val="32"/>
          <w:lang w:val="en-US"/>
        </w:rPr>
      </w:pPr>
    </w:p>
    <w:p w14:paraId="746B209B">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val="0"/>
          <w:sz w:val="32"/>
          <w:szCs w:val="32"/>
          <w:lang w:val="en-US"/>
        </w:rPr>
      </w:pPr>
    </w:p>
    <w:p w14:paraId="28864FF2">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val="0"/>
          <w:sz w:val="32"/>
          <w:szCs w:val="32"/>
          <w:lang w:val="en-US"/>
        </w:rPr>
      </w:pPr>
    </w:p>
    <w:p w14:paraId="6F4275BE">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val="0"/>
          <w:sz w:val="32"/>
          <w:szCs w:val="32"/>
          <w:lang w:val="en-US"/>
        </w:rPr>
      </w:pPr>
    </w:p>
    <w:p w14:paraId="707046BA">
      <w:pPr>
        <w:keepNext w:val="0"/>
        <w:keepLines w:val="0"/>
        <w:widowControl w:val="0"/>
        <w:suppressLineNumbers w:val="0"/>
        <w:spacing w:before="0" w:beforeAutospacing="0" w:after="0" w:afterAutospacing="0" w:line="360" w:lineRule="auto"/>
        <w:ind w:left="0" w:right="0" w:firstLine="1807" w:firstLineChars="600"/>
        <w:jc w:val="both"/>
        <w:rPr>
          <w:rFonts w:hint="eastAsia" w:ascii="仿宋" w:hAnsi="仿宋" w:eastAsia="仿宋" w:cs="仿宋"/>
          <w:b/>
          <w:bCs/>
          <w:sz w:val="30"/>
          <w:szCs w:val="30"/>
          <w:u w:val="single"/>
          <w:lang w:val="en-US"/>
        </w:rPr>
      </w:pPr>
      <w:r>
        <w:rPr>
          <w:rFonts w:hint="eastAsia" w:ascii="仿宋" w:hAnsi="仿宋" w:eastAsia="仿宋" w:cs="仿宋"/>
          <w:b/>
          <w:bCs/>
          <w:kern w:val="2"/>
          <w:sz w:val="30"/>
          <w:szCs w:val="30"/>
          <w:lang w:val="en-US" w:eastAsia="zh-CN" w:bidi="ar"/>
        </w:rPr>
        <w:t>甲方：</w:t>
      </w:r>
      <w:r>
        <w:rPr>
          <w:rFonts w:hint="eastAsia" w:ascii="仿宋" w:hAnsi="仿宋" w:eastAsia="仿宋" w:cs="仿宋"/>
          <w:b/>
          <w:bCs/>
          <w:kern w:val="2"/>
          <w:sz w:val="30"/>
          <w:szCs w:val="30"/>
          <w:u w:val="single"/>
          <w:lang w:val="en-US" w:eastAsia="zh-CN" w:bidi="ar"/>
        </w:rPr>
        <w:t>西安市第八医院</w:t>
      </w:r>
    </w:p>
    <w:p w14:paraId="5897BB57">
      <w:pPr>
        <w:keepNext w:val="0"/>
        <w:keepLines w:val="0"/>
        <w:widowControl w:val="0"/>
        <w:suppressLineNumbers w:val="0"/>
        <w:spacing w:before="0" w:beforeAutospacing="0" w:after="0" w:afterAutospacing="0" w:line="360" w:lineRule="auto"/>
        <w:ind w:left="0" w:right="0" w:firstLine="1807" w:firstLineChars="600"/>
        <w:jc w:val="both"/>
        <w:rPr>
          <w:rFonts w:hint="eastAsia" w:ascii="仿宋" w:hAnsi="仿宋" w:eastAsia="仿宋" w:cs="仿宋"/>
          <w:b/>
          <w:bCs/>
          <w:sz w:val="30"/>
          <w:szCs w:val="30"/>
          <w:lang w:val="en-US"/>
        </w:rPr>
      </w:pPr>
      <w:r>
        <w:rPr>
          <w:rFonts w:hint="eastAsia" w:ascii="仿宋" w:hAnsi="仿宋" w:eastAsia="仿宋" w:cs="仿宋"/>
          <w:b/>
          <w:bCs/>
          <w:kern w:val="2"/>
          <w:sz w:val="30"/>
          <w:szCs w:val="30"/>
          <w:lang w:val="en-US" w:eastAsia="zh-CN" w:bidi="ar"/>
        </w:rPr>
        <w:t>乙方：</w:t>
      </w:r>
      <w:r>
        <w:rPr>
          <w:rFonts w:hint="eastAsia" w:ascii="仿宋" w:hAnsi="仿宋" w:eastAsia="仿宋" w:cs="仿宋"/>
          <w:b/>
          <w:bCs/>
          <w:kern w:val="2"/>
          <w:sz w:val="30"/>
          <w:szCs w:val="30"/>
          <w:u w:val="single"/>
          <w:lang w:val="en-US" w:eastAsia="zh-CN" w:bidi="ar"/>
        </w:rPr>
        <w:t xml:space="preserve">              </w:t>
      </w:r>
    </w:p>
    <w:p w14:paraId="11834B3B">
      <w:pPr>
        <w:keepNext w:val="0"/>
        <w:keepLines w:val="0"/>
        <w:widowControl w:val="0"/>
        <w:suppressLineNumbers w:val="0"/>
        <w:spacing w:before="0" w:beforeAutospacing="0" w:after="0" w:afterAutospacing="0"/>
        <w:ind w:left="0" w:right="0" w:firstLine="1766" w:firstLineChars="500"/>
        <w:jc w:val="both"/>
        <w:rPr>
          <w:rFonts w:hint="eastAsia" w:ascii="仿宋" w:hAnsi="仿宋" w:eastAsia="仿宋" w:cs="仿宋"/>
          <w:lang w:val="en-US"/>
        </w:rPr>
      </w:pPr>
      <w:r>
        <w:rPr>
          <w:rFonts w:hint="eastAsia" w:ascii="仿宋" w:hAnsi="仿宋" w:eastAsia="仿宋" w:cs="仿宋"/>
          <w:b/>
          <w:bCs/>
          <w:spacing w:val="26"/>
          <w:kern w:val="2"/>
          <w:sz w:val="30"/>
          <w:szCs w:val="30"/>
          <w:lang w:val="en-US" w:eastAsia="zh-CN" w:bidi="ar"/>
        </w:rPr>
        <w:t>日期：</w:t>
      </w:r>
      <w:r>
        <w:rPr>
          <w:rFonts w:hint="eastAsia" w:ascii="仿宋" w:hAnsi="仿宋" w:eastAsia="仿宋" w:cs="仿宋"/>
          <w:b/>
          <w:bCs/>
          <w:spacing w:val="26"/>
          <w:kern w:val="2"/>
          <w:sz w:val="30"/>
          <w:szCs w:val="30"/>
          <w:u w:val="single"/>
          <w:lang w:val="en-US" w:eastAsia="zh-CN" w:bidi="ar"/>
        </w:rPr>
        <w:t xml:space="preserve">    </w:t>
      </w:r>
      <w:r>
        <w:rPr>
          <w:rFonts w:hint="eastAsia" w:ascii="仿宋" w:hAnsi="仿宋" w:eastAsia="仿宋" w:cs="仿宋"/>
          <w:b/>
          <w:bCs/>
          <w:spacing w:val="26"/>
          <w:kern w:val="2"/>
          <w:sz w:val="30"/>
          <w:szCs w:val="30"/>
          <w:lang w:val="en-US" w:eastAsia="zh-CN" w:bidi="ar"/>
        </w:rPr>
        <w:t>年</w:t>
      </w:r>
      <w:r>
        <w:rPr>
          <w:rFonts w:hint="eastAsia" w:ascii="仿宋" w:hAnsi="仿宋" w:eastAsia="仿宋" w:cs="仿宋"/>
          <w:b/>
          <w:bCs/>
          <w:spacing w:val="26"/>
          <w:kern w:val="2"/>
          <w:sz w:val="30"/>
          <w:szCs w:val="30"/>
          <w:u w:val="single"/>
          <w:lang w:val="en-US" w:eastAsia="zh-CN" w:bidi="ar"/>
        </w:rPr>
        <w:t xml:space="preserve">   </w:t>
      </w:r>
      <w:r>
        <w:rPr>
          <w:rFonts w:hint="eastAsia" w:ascii="仿宋" w:hAnsi="仿宋" w:eastAsia="仿宋" w:cs="仿宋"/>
          <w:b/>
          <w:bCs/>
          <w:spacing w:val="26"/>
          <w:kern w:val="2"/>
          <w:sz w:val="30"/>
          <w:szCs w:val="30"/>
          <w:lang w:val="en-US" w:eastAsia="zh-CN" w:bidi="ar"/>
        </w:rPr>
        <w:t>月</w:t>
      </w:r>
      <w:r>
        <w:rPr>
          <w:rFonts w:hint="eastAsia" w:ascii="仿宋" w:hAnsi="仿宋" w:eastAsia="仿宋" w:cs="仿宋"/>
          <w:b/>
          <w:bCs/>
          <w:spacing w:val="26"/>
          <w:kern w:val="2"/>
          <w:sz w:val="30"/>
          <w:szCs w:val="30"/>
          <w:u w:val="single"/>
          <w:lang w:val="en-US" w:eastAsia="zh-CN" w:bidi="ar"/>
        </w:rPr>
        <w:t xml:space="preserve">    </w:t>
      </w:r>
      <w:r>
        <w:rPr>
          <w:rFonts w:hint="eastAsia" w:ascii="仿宋" w:hAnsi="仿宋" w:eastAsia="仿宋" w:cs="仿宋"/>
          <w:b/>
          <w:bCs/>
          <w:spacing w:val="26"/>
          <w:kern w:val="2"/>
          <w:sz w:val="30"/>
          <w:szCs w:val="30"/>
          <w:lang w:val="en-US" w:eastAsia="zh-CN" w:bidi="ar"/>
        </w:rPr>
        <w:t>日</w:t>
      </w:r>
    </w:p>
    <w:p w14:paraId="5DF4A236">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19658CB1">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713CA0B0">
      <w:pPr>
        <w:keepNext w:val="0"/>
        <w:keepLines w:val="0"/>
        <w:widowControl w:val="0"/>
        <w:suppressLineNumbers w:val="0"/>
        <w:adjustRightInd w:val="0"/>
        <w:snapToGrid w:val="0"/>
        <w:spacing w:before="0" w:beforeAutospacing="0" w:after="0" w:afterAutospacing="0" w:line="360" w:lineRule="auto"/>
        <w:ind w:left="0" w:right="0" w:firstLine="562" w:firstLineChars="200"/>
        <w:jc w:val="center"/>
        <w:rPr>
          <w:rFonts w:hint="eastAsia" w:ascii="仿宋" w:hAnsi="仿宋" w:eastAsia="仿宋" w:cs="仿宋"/>
          <w:b/>
          <w:bCs w:val="0"/>
          <w:sz w:val="30"/>
          <w:szCs w:val="30"/>
          <w:lang w:val="en-US"/>
        </w:rPr>
      </w:pPr>
      <w:r>
        <w:rPr>
          <w:rFonts w:hint="eastAsia" w:ascii="宋体" w:hAnsi="宋体" w:eastAsia="宋体" w:cs="宋体"/>
          <w:b/>
          <w:bCs w:val="0"/>
          <w:kern w:val="2"/>
          <w:sz w:val="28"/>
          <w:szCs w:val="28"/>
          <w:lang w:val="en-US" w:eastAsia="zh-CN" w:bidi="ar"/>
        </w:rPr>
        <w:br w:type="page"/>
      </w:r>
      <w:r>
        <w:rPr>
          <w:rFonts w:hint="eastAsia" w:ascii="仿宋" w:hAnsi="仿宋" w:eastAsia="仿宋" w:cs="仿宋"/>
          <w:b/>
          <w:bCs w:val="0"/>
          <w:kern w:val="2"/>
          <w:sz w:val="44"/>
          <w:szCs w:val="44"/>
          <w:lang w:val="en-US" w:eastAsia="zh-CN" w:bidi="ar"/>
        </w:rPr>
        <w:t>服务合同</w:t>
      </w:r>
    </w:p>
    <w:p w14:paraId="29DBF43A">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依据《中华人民共和国民法典》与项目行业有关的法律法规，以及</w:t>
      </w:r>
      <w:r>
        <w:rPr>
          <w:rFonts w:hint="eastAsia" w:ascii="仿宋" w:hAnsi="仿宋" w:eastAsia="仿宋" w:cs="仿宋"/>
          <w:color w:val="000000"/>
          <w:kern w:val="2"/>
          <w:sz w:val="20"/>
          <w:szCs w:val="20"/>
          <w:u w:val="single"/>
          <w:lang w:val="en-US" w:eastAsia="zh-CN" w:bidi="ar"/>
        </w:rPr>
        <w:t>西安市第八医院医疗废物集中处置项目</w:t>
      </w:r>
      <w:r>
        <w:rPr>
          <w:rFonts w:hint="eastAsia" w:ascii="仿宋" w:hAnsi="仿宋" w:eastAsia="仿宋" w:cs="仿宋"/>
          <w:kern w:val="2"/>
          <w:sz w:val="20"/>
          <w:szCs w:val="20"/>
          <w:lang w:val="en-US" w:eastAsia="zh-CN" w:bidi="ar"/>
        </w:rPr>
        <w:t>（项目编号：</w:t>
      </w:r>
      <w:r>
        <w:rPr>
          <w:rFonts w:hint="eastAsia" w:ascii="仿宋" w:hAnsi="仿宋" w:eastAsia="仿宋" w:cs="仿宋"/>
          <w:color w:val="000000"/>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的《单一来源采购文件》，乙方的《单一来源响应文件》及《成交通知书》，甲、乙双方同意签订本合同。详细技术说明及其他有关合同项目的特定信息由合同附件予以说明，合同附件及本项目的《单一来源采购文件》、《单一来源响应文件》、《成交通知书》等均为本合同的组成部分。 </w:t>
      </w:r>
    </w:p>
    <w:p w14:paraId="093F1179">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项目基本情况</w:t>
      </w:r>
    </w:p>
    <w:p w14:paraId="51B1524D">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val="0"/>
          <w:sz w:val="20"/>
          <w:szCs w:val="20"/>
          <w:u w:val="single"/>
          <w:lang w:val="en-US"/>
        </w:rPr>
      </w:pPr>
      <w:r>
        <w:rPr>
          <w:rFonts w:hint="eastAsia" w:ascii="仿宋" w:hAnsi="仿宋" w:eastAsia="仿宋" w:cs="仿宋"/>
          <w:b/>
          <w:bCs w:val="0"/>
          <w:kern w:val="2"/>
          <w:sz w:val="20"/>
          <w:szCs w:val="20"/>
          <w:lang w:val="en-US" w:eastAsia="zh-CN" w:bidi="ar"/>
        </w:rPr>
        <w:t xml:space="preserve">   </w:t>
      </w:r>
      <w:r>
        <w:rPr>
          <w:rFonts w:hint="eastAsia" w:ascii="仿宋" w:hAnsi="仿宋" w:eastAsia="仿宋" w:cs="仿宋"/>
          <w:b/>
          <w:bCs w:val="0"/>
          <w:kern w:val="2"/>
          <w:sz w:val="20"/>
          <w:szCs w:val="20"/>
          <w:u w:val="single"/>
          <w:lang w:val="en-US" w:eastAsia="zh-CN" w:bidi="ar"/>
        </w:rPr>
        <w:t xml:space="preserve">                                 </w:t>
      </w:r>
      <w:r>
        <w:rPr>
          <w:rFonts w:hint="eastAsia" w:ascii="仿宋" w:hAnsi="仿宋" w:eastAsia="仿宋" w:cs="仿宋"/>
          <w:b/>
          <w:bCs w:val="0"/>
          <w:kern w:val="2"/>
          <w:sz w:val="20"/>
          <w:szCs w:val="20"/>
          <w:lang w:val="en-US" w:eastAsia="zh-CN" w:bidi="ar"/>
        </w:rPr>
        <w:t>。</w:t>
      </w:r>
    </w:p>
    <w:p w14:paraId="421B9EC2">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合同期限</w:t>
      </w:r>
    </w:p>
    <w:p w14:paraId="10B8B6E1">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   自合同签订之日起1年。</w:t>
      </w:r>
    </w:p>
    <w:p w14:paraId="10AD13C4">
      <w:pPr>
        <w:keepNext w:val="0"/>
        <w:keepLines w:val="0"/>
        <w:widowControl w:val="0"/>
        <w:suppressLineNumbers w:val="0"/>
        <w:adjustRightInd w:val="0"/>
        <w:snapToGrid w:val="0"/>
        <w:spacing w:before="0" w:beforeAutospacing="0" w:after="0" w:afterAutospacing="0" w:line="360" w:lineRule="auto"/>
        <w:ind w:left="426" w:right="0"/>
        <w:jc w:val="both"/>
        <w:rPr>
          <w:rFonts w:hint="eastAsia" w:ascii="仿宋" w:hAnsi="仿宋" w:eastAsia="仿宋" w:cs="仿宋"/>
          <w:sz w:val="20"/>
          <w:szCs w:val="20"/>
          <w:lang w:val="en-US"/>
        </w:rPr>
      </w:pPr>
      <w:bookmarkStart w:id="0" w:name="_Toc239568418"/>
      <w:bookmarkStart w:id="1" w:name="_Toc282696226"/>
      <w:bookmarkStart w:id="2" w:name="_Toc283019214"/>
      <w:bookmarkStart w:id="3" w:name="_Toc211854449"/>
      <w:bookmarkStart w:id="4" w:name="_Toc232492928"/>
      <w:bookmarkStart w:id="5" w:name="_Toc237145406"/>
      <w:bookmarkStart w:id="6" w:name="_Toc225654644"/>
      <w:bookmarkStart w:id="7" w:name="_Toc251768862"/>
      <w:bookmarkStart w:id="8" w:name="_Toc238984975"/>
      <w:bookmarkStart w:id="9" w:name="_Toc247334841"/>
      <w:bookmarkStart w:id="10" w:name="_Toc239233914"/>
      <w:bookmarkStart w:id="11" w:name="_Toc211911348"/>
      <w:bookmarkStart w:id="12" w:name="_Toc225244852"/>
      <w:bookmarkStart w:id="13" w:name="_Toc212019594"/>
      <w:bookmarkStart w:id="14" w:name="_Toc286993786"/>
      <w:bookmarkStart w:id="15" w:name="_Toc241833903"/>
      <w:bookmarkStart w:id="16" w:name="_Toc225670751"/>
      <w:bookmarkStart w:id="17" w:name="_Toc185395249"/>
      <w:r>
        <w:rPr>
          <w:rFonts w:hint="eastAsia" w:ascii="仿宋" w:hAnsi="仿宋" w:eastAsia="仿宋" w:cs="仿宋"/>
          <w:b/>
          <w:bCs w:val="0"/>
          <w:kern w:val="2"/>
          <w:sz w:val="20"/>
          <w:szCs w:val="20"/>
          <w:lang w:val="en-US" w:eastAsia="zh-CN" w:bidi="ar"/>
        </w:rPr>
        <w:t>第三条   服务内容与质量标准</w:t>
      </w:r>
    </w:p>
    <w:p w14:paraId="2B6A3CD2">
      <w:pPr>
        <w:keepNext w:val="0"/>
        <w:keepLines w:val="0"/>
        <w:widowControl w:val="0"/>
        <w:suppressLineNumbers w:val="0"/>
        <w:adjustRightInd w:val="0"/>
        <w:snapToGrid w:val="0"/>
        <w:spacing w:before="0" w:beforeAutospacing="0" w:after="0" w:afterAutospacing="0" w:line="360" w:lineRule="auto"/>
        <w:ind w:left="0" w:right="0" w:firstLine="600" w:firstLineChars="3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1.供应商须指定专人负责医疗废物处置及负责医疗废物交接工作并进行记录等工作；</w:t>
      </w:r>
    </w:p>
    <w:p w14:paraId="62F3676B">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2.根据采购人的上年度医疗废物产生量提供相应数量的专用包装容器，包含但不限于:包装袋、利器盒和周转桶；</w:t>
      </w:r>
    </w:p>
    <w:p w14:paraId="6B32A86C">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3.供应商须指定专人按照约定的时间每天到医院指定的医疗废物暂存点接受医疗废物，对接受的医疗废物进行核实后填写相应单据，包含但不限于《危险废物转移联单》（医疗废物专用）和《医疗废物运送登记卡》等，最迟不得超过48小时，如遇采购人大型检查时应遵照采购人要求增加清运次数。</w:t>
      </w:r>
    </w:p>
    <w:p w14:paraId="68BB2DF8">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4.医疗废物要按感染性、损伤性、化学性、药物性及病理性分类收集，不得混装，车辆要密封装运，不得撒落，运输车辆每次卸载完毕，应按照卫生健康部门要求的方法和频次进行消毒。</w:t>
      </w:r>
    </w:p>
    <w:p w14:paraId="1F1D99CA">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5.供应商收集的医疗废物须</w:t>
      </w:r>
      <w:r>
        <w:rPr>
          <w:rFonts w:hint="eastAsia" w:ascii="仿宋_GB2312" w:hAnsi="仿宋_GB2312" w:eastAsia="仿宋_GB2312" w:cs="仿宋_GB2312"/>
          <w:kern w:val="2"/>
          <w:sz w:val="21"/>
          <w:szCs w:val="24"/>
          <w:lang w:val="en-US" w:eastAsia="zh-CN" w:bidi="ar"/>
        </w:rPr>
        <w:t>严格按照《医疗废物管理条例》（国务院令第380号）、《医疗卫生机构医疗废物管理办法》（卫生部令第36号）、《医疗废物集中处置技术规范》（环发[2003]206号）及《西安市医疗废物集中处置实施方案》（市政发[2004]135号）的规定，按时接收甲方的医疗废物，安全运抵处置中心并进行无害化处置</w:t>
      </w:r>
      <w:r>
        <w:rPr>
          <w:rFonts w:hint="eastAsia" w:ascii="仿宋" w:hAnsi="仿宋" w:eastAsia="仿宋" w:cs="仿宋"/>
          <w:kern w:val="2"/>
          <w:sz w:val="20"/>
          <w:szCs w:val="20"/>
          <w:lang w:val="en-US" w:eastAsia="zh-CN" w:bidi="ar"/>
        </w:rPr>
        <w:t>。</w:t>
      </w:r>
    </w:p>
    <w:p w14:paraId="725EBFF9">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6.供应商须保证集中处置设施、设备及污染源自动在线监测仪器正常运行，处置医疗废物应当符合国家规定的环境保护、卫生标准和规范。并且要制定科学、规范、合理的应急处置措施。</w:t>
      </w:r>
    </w:p>
    <w:p w14:paraId="35A9D06C">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b/>
          <w:bCs w:val="0"/>
          <w:sz w:val="20"/>
          <w:szCs w:val="20"/>
          <w:lang w:val="en-US"/>
        </w:rPr>
      </w:pPr>
      <w:r>
        <w:rPr>
          <w:rFonts w:hint="eastAsia" w:ascii="仿宋" w:hAnsi="仿宋" w:eastAsia="仿宋" w:cs="仿宋"/>
          <w:kern w:val="2"/>
          <w:sz w:val="20"/>
          <w:szCs w:val="20"/>
          <w:lang w:val="en-US" w:eastAsia="zh-CN" w:bidi="ar"/>
        </w:rPr>
        <w:t>7.供应商在设备停运或检修期间，必须保证对医疗废物的收集和运输，保证按规范进行贮存，不得造成二次污染。</w:t>
      </w:r>
      <w:r>
        <w:rPr>
          <w:rFonts w:hint="eastAsia" w:ascii="仿宋" w:hAnsi="仿宋" w:eastAsia="仿宋" w:cs="仿宋"/>
          <w:kern w:val="2"/>
          <w:sz w:val="20"/>
          <w:szCs w:val="20"/>
          <w:lang w:val="en-US" w:eastAsia="zh-CN" w:bidi="ar"/>
        </w:rPr>
        <w:br w:type="textWrapping"/>
      </w:r>
      <w:r>
        <w:rPr>
          <w:rFonts w:hint="eastAsia" w:ascii="仿宋" w:hAnsi="仿宋" w:eastAsia="仿宋" w:cs="仿宋"/>
          <w:kern w:val="2"/>
          <w:sz w:val="20"/>
          <w:szCs w:val="20"/>
          <w:lang w:val="en-US" w:eastAsia="zh-CN" w:bidi="ar"/>
        </w:rPr>
        <w:t xml:space="preserve">   8.质量标准：合格（达到国家强制性合格标准）</w:t>
      </w:r>
    </w:p>
    <w:p w14:paraId="536D752F">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服务费用及支付方式</w:t>
      </w:r>
    </w:p>
    <w:p w14:paraId="24995440">
      <w:pPr>
        <w:keepNext w:val="0"/>
        <w:keepLines w:val="0"/>
        <w:widowControl w:val="0"/>
        <w:numPr>
          <w:ilvl w:val="0"/>
          <w:numId w:val="2"/>
        </w:numPr>
        <w:suppressLineNumbers w:val="0"/>
        <w:spacing w:before="0" w:beforeAutospacing="0" w:after="0" w:afterAutospacing="0" w:line="360" w:lineRule="auto"/>
        <w:ind w:left="0" w:right="0" w:firstLine="567"/>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本项目服务费用由以下组成：</w:t>
      </w:r>
    </w:p>
    <w:p w14:paraId="1907DE6E">
      <w:pPr>
        <w:pStyle w:val="5"/>
        <w:widowControl/>
        <w:spacing w:line="360" w:lineRule="auto"/>
        <w:ind w:left="0" w:firstLine="400" w:firstLineChars="200"/>
        <w:rPr>
          <w:rFonts w:hint="eastAsia" w:ascii="仿宋" w:hAnsi="仿宋" w:eastAsia="仿宋" w:cs="仿宋"/>
          <w:u w:val="single"/>
          <w:lang w:val="en-US"/>
        </w:rPr>
      </w:pPr>
      <w:r>
        <w:rPr>
          <w:rFonts w:hint="eastAsia" w:ascii="仿宋" w:hAnsi="仿宋" w:eastAsia="仿宋" w:cs="仿宋"/>
          <w:lang w:eastAsia="zh-CN"/>
        </w:rPr>
        <w:t>单价：</w:t>
      </w:r>
      <w:r>
        <w:rPr>
          <w:rFonts w:hint="eastAsia" w:ascii="仿宋" w:hAnsi="仿宋" w:eastAsia="仿宋" w:cs="仿宋"/>
          <w:u w:val="single"/>
          <w:lang w:val="en-US"/>
        </w:rPr>
        <w:t xml:space="preserve">      </w:t>
      </w:r>
      <w:r>
        <w:rPr>
          <w:rFonts w:hint="eastAsia" w:ascii="仿宋" w:hAnsi="仿宋" w:eastAsia="仿宋" w:cs="仿宋"/>
          <w:lang w:eastAsia="zh-CN"/>
        </w:rPr>
        <w:t>元</w:t>
      </w:r>
      <w:r>
        <w:rPr>
          <w:rFonts w:hint="eastAsia" w:ascii="仿宋" w:hAnsi="仿宋" w:eastAsia="仿宋" w:cs="仿宋"/>
          <w:lang w:val="en-US"/>
        </w:rPr>
        <w:t>/</w:t>
      </w:r>
      <w:r>
        <w:rPr>
          <w:rFonts w:hint="eastAsia" w:ascii="仿宋" w:hAnsi="仿宋" w:eastAsia="仿宋" w:cs="仿宋"/>
          <w:lang w:eastAsia="zh-CN"/>
        </w:rPr>
        <w:t>床位</w:t>
      </w:r>
      <w:r>
        <w:rPr>
          <w:rFonts w:hint="eastAsia" w:ascii="仿宋" w:hAnsi="仿宋" w:eastAsia="仿宋" w:cs="仿宋"/>
          <w:lang w:val="en-US"/>
        </w:rPr>
        <w:t>/</w:t>
      </w:r>
      <w:r>
        <w:rPr>
          <w:rFonts w:hint="eastAsia" w:ascii="仿宋" w:hAnsi="仿宋" w:eastAsia="仿宋" w:cs="仿宋"/>
          <w:lang w:eastAsia="zh-CN"/>
        </w:rPr>
        <w:t>日。</w:t>
      </w:r>
    </w:p>
    <w:p w14:paraId="24296C3A">
      <w:pPr>
        <w:keepNext w:val="0"/>
        <w:keepLines w:val="0"/>
        <w:widowControl w:val="0"/>
        <w:numPr>
          <w:ilvl w:val="0"/>
          <w:numId w:val="2"/>
        </w:numPr>
        <w:suppressLineNumbers w:val="0"/>
        <w:tabs>
          <w:tab w:val="left" w:pos="780"/>
        </w:tabs>
        <w:spacing w:before="0" w:beforeAutospacing="0" w:after="0" w:afterAutospacing="0" w:line="360" w:lineRule="auto"/>
        <w:ind w:left="0" w:right="0" w:firstLine="567"/>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 xml:space="preserve">服务费支付方式： </w:t>
      </w:r>
    </w:p>
    <w:p w14:paraId="6C9E7843">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hint="eastAsia" w:ascii="仿宋" w:hAnsi="仿宋" w:eastAsia="仿宋" w:cs="仿宋"/>
          <w:sz w:val="20"/>
          <w:szCs w:val="20"/>
          <w:u w:val="single"/>
          <w:lang w:val="en-US"/>
        </w:rPr>
      </w:pPr>
      <w:r>
        <w:rPr>
          <w:rFonts w:hint="eastAsia" w:ascii="仿宋" w:hAnsi="仿宋" w:eastAsia="仿宋" w:cs="仿宋"/>
          <w:b/>
          <w:bCs w:val="0"/>
          <w:kern w:val="2"/>
          <w:sz w:val="20"/>
          <w:szCs w:val="20"/>
          <w:lang w:val="en-US" w:eastAsia="zh-CN" w:bidi="ar"/>
        </w:rPr>
        <w:t xml:space="preserve"> </w:t>
      </w:r>
      <w:r>
        <w:rPr>
          <w:rFonts w:hint="eastAsia" w:ascii="仿宋" w:hAnsi="仿宋" w:eastAsia="仿宋" w:cs="仿宋"/>
          <w:kern w:val="2"/>
          <w:sz w:val="20"/>
          <w:szCs w:val="20"/>
          <w:lang w:val="en-US" w:eastAsia="zh-CN" w:bidi="ar"/>
        </w:rPr>
        <w:t>在合同执行当月，按照医疗废物产生单位上年度同期实际床位使用数按月收取，年终结算时，经双方共同核定全年床位使用数后，实行多退少补。最终结算费用不超过本项目的采购预算金额。乙方应在甲方付款前，向甲方提供服务费同等金额的符合甲方要求的发票，若乙方未按时提供或提供发票不符合甲方要求，甲方有权迟延付款且不负任何责任。</w:t>
      </w:r>
    </w:p>
    <w:p w14:paraId="4EEBCEA1">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知识产权</w:t>
      </w:r>
    </w:p>
    <w:p w14:paraId="2518ECCD">
      <w:pPr>
        <w:keepNext w:val="0"/>
        <w:keepLines w:val="0"/>
        <w:widowControl w:val="0"/>
        <w:suppressLineNumbers w:val="0"/>
        <w:tabs>
          <w:tab w:val="left" w:pos="144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乙方应保证所提供的服务或其任何一部分均不会侵犯任何第三方的专利权、商标权或著作权。</w:t>
      </w:r>
    </w:p>
    <w:p w14:paraId="7FB9EC12">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无产权瑕疵条款</w:t>
      </w:r>
    </w:p>
    <w:p w14:paraId="52ABBC5B">
      <w:pPr>
        <w:keepNext w:val="0"/>
        <w:keepLines w:val="0"/>
        <w:widowControl w:val="0"/>
        <w:suppressLineNumbers w:val="0"/>
        <w:tabs>
          <w:tab w:val="left" w:pos="144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乙方保证所提供的服务的所有权完全属于乙方且无任何抵押、查封等产权瑕疵。如有产权瑕疵的，视为乙方违约。乙方应负担由此而产生的一切损失。</w:t>
      </w:r>
    </w:p>
    <w:p w14:paraId="708BA417">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履约保证金</w:t>
      </w:r>
    </w:p>
    <w:p w14:paraId="56796E03">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1.乙方交纳人民币</w:t>
      </w:r>
      <w:r>
        <w:rPr>
          <w:rFonts w:hint="eastAsia" w:ascii="仿宋" w:hAnsi="仿宋" w:eastAsia="仿宋" w:cs="仿宋"/>
          <w:color w:val="000000"/>
          <w:kern w:val="2"/>
          <w:sz w:val="20"/>
          <w:szCs w:val="20"/>
          <w:u w:val="single"/>
          <w:vertAlign w:val="baseline"/>
          <w:lang w:val="en-US" w:eastAsia="zh-CN" w:bidi="ar"/>
        </w:rPr>
        <w:t xml:space="preserve">         </w:t>
      </w:r>
      <w:r>
        <w:rPr>
          <w:rFonts w:hint="eastAsia" w:ascii="仿宋" w:hAnsi="仿宋" w:eastAsia="仿宋" w:cs="仿宋"/>
          <w:color w:val="000000"/>
          <w:kern w:val="2"/>
          <w:sz w:val="20"/>
          <w:szCs w:val="20"/>
          <w:vertAlign w:val="baseline"/>
          <w:lang w:val="en-US" w:eastAsia="zh-CN" w:bidi="ar"/>
        </w:rPr>
        <w:t xml:space="preserve"> </w:t>
      </w:r>
      <w:r>
        <w:rPr>
          <w:rFonts w:hint="eastAsia" w:ascii="仿宋" w:hAnsi="仿宋" w:eastAsia="仿宋" w:cs="仿宋"/>
          <w:bCs/>
          <w:kern w:val="2"/>
          <w:sz w:val="20"/>
          <w:szCs w:val="20"/>
          <w:vertAlign w:val="baseline"/>
          <w:lang w:val="en-US" w:eastAsia="zh-CN" w:bidi="ar"/>
        </w:rPr>
        <w:t>元作为本合同的履约保证金。</w:t>
      </w:r>
    </w:p>
    <w:p w14:paraId="1D632B9E">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2.履约保证金作为违约金的一部分及用于补偿甲方因乙方不能履行合同义务而蒙受的损失。</w:t>
      </w:r>
    </w:p>
    <w:p w14:paraId="642D0880">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甲方的权利和义务</w:t>
      </w:r>
    </w:p>
    <w:p w14:paraId="27CE92DE">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1.甲方有权对合同规定范围内乙方的服务行为进行监督和检查，拥有监管权。有权定期核对乙方提供服务所配备的人员数量。对甲方认为不合理的部分有权下达整改通知书，并要求乙方限期整改。</w:t>
      </w:r>
    </w:p>
    <w:p w14:paraId="2793FC30">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2.甲方有权依据双方签订的考评办法对乙方提供的服务进行定期考评。当考评结果未达到标准时，有权依据考评办法约定的数额扣除履约保证金。</w:t>
      </w:r>
    </w:p>
    <w:p w14:paraId="43CC5B79">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3.负责检查监督乙方管理工作的实施及制度的执行情况。</w:t>
      </w:r>
    </w:p>
    <w:p w14:paraId="7DC13683">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4.根据本合同规定，按时向乙方支付应付服务费用。</w:t>
      </w:r>
    </w:p>
    <w:p w14:paraId="74E66BA5">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5.国家法律、法规所规定由甲方承担的其它责任。</w:t>
      </w:r>
    </w:p>
    <w:p w14:paraId="5B5100B3">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乙方的权利和义务</w:t>
      </w:r>
    </w:p>
    <w:p w14:paraId="3835BCF9">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1.对本合同规定的委托服务范围内的项目享有管理权及服务义务。</w:t>
      </w:r>
    </w:p>
    <w:p w14:paraId="23EF587D">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2.根据本合同的规定向甲方收取相关服务费用，并有权在本项目管理范围内管理及合理使用。</w:t>
      </w:r>
    </w:p>
    <w:p w14:paraId="525A621B">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sz w:val="20"/>
          <w:szCs w:val="20"/>
          <w:vertAlign w:val="baseline"/>
          <w:lang w:val="en-US"/>
        </w:rPr>
      </w:pPr>
      <w:r>
        <w:rPr>
          <w:rFonts w:hint="eastAsia" w:ascii="仿宋" w:hAnsi="仿宋" w:eastAsia="仿宋" w:cs="仿宋"/>
          <w:kern w:val="2"/>
          <w:sz w:val="20"/>
          <w:szCs w:val="20"/>
          <w:vertAlign w:val="baseline"/>
          <w:lang w:val="en-US" w:eastAsia="zh-CN" w:bidi="ar"/>
        </w:rPr>
        <w:t>3.及时向甲方通告本项目服务范围内有关服务的重大事项，及时配合处理投诉。</w:t>
      </w:r>
    </w:p>
    <w:p w14:paraId="0BA4F4CE">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kern w:val="2"/>
          <w:sz w:val="20"/>
          <w:szCs w:val="20"/>
          <w:vertAlign w:val="baseline"/>
          <w:lang w:val="en-US" w:eastAsia="zh-CN" w:bidi="ar"/>
        </w:rPr>
        <w:t>4.</w:t>
      </w:r>
      <w:r>
        <w:rPr>
          <w:rFonts w:hint="eastAsia" w:ascii="仿宋" w:hAnsi="仿宋" w:eastAsia="仿宋" w:cs="仿宋"/>
          <w:bCs/>
          <w:kern w:val="2"/>
          <w:sz w:val="20"/>
          <w:szCs w:val="20"/>
          <w:vertAlign w:val="baseline"/>
          <w:lang w:val="en-US" w:eastAsia="zh-CN" w:bidi="ar"/>
        </w:rPr>
        <w:t>接受项目行业管理部门及政府有关部门的指导，接受甲方的监督。</w:t>
      </w:r>
    </w:p>
    <w:p w14:paraId="67255E24">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5.国家法律、法规所规定由乙方承担的其它责任。</w:t>
      </w:r>
    </w:p>
    <w:p w14:paraId="3578BD58">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违约责任</w:t>
      </w:r>
    </w:p>
    <w:p w14:paraId="6DAB9EDA">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1.甲乙双方必须遵守本合同并执行合同中的各项规定，保证本合同的正常履行。</w:t>
      </w:r>
    </w:p>
    <w:p w14:paraId="1AAA9EF1">
      <w:pPr>
        <w:keepNext w:val="0"/>
        <w:keepLines w:val="0"/>
        <w:widowControl w:val="0"/>
        <w:suppressLineNumbers w:val="0"/>
        <w:adjustRightInd w:val="0"/>
        <w:spacing w:before="0" w:beforeAutospacing="0" w:after="0" w:afterAutospacing="0" w:line="360" w:lineRule="auto"/>
        <w:ind w:left="0" w:right="0" w:firstLine="400" w:firstLineChars="200"/>
        <w:jc w:val="left"/>
        <w:textAlignment w:val="baseline"/>
        <w:rPr>
          <w:rFonts w:hint="eastAsia" w:ascii="仿宋" w:hAnsi="仿宋" w:eastAsia="仿宋" w:cs="仿宋"/>
          <w:bCs/>
          <w:sz w:val="20"/>
          <w:szCs w:val="20"/>
          <w:vertAlign w:val="baseline"/>
          <w:lang w:val="en-US"/>
        </w:rPr>
      </w:pPr>
      <w:r>
        <w:rPr>
          <w:rFonts w:hint="eastAsia" w:ascii="仿宋" w:hAnsi="仿宋" w:eastAsia="仿宋" w:cs="仿宋"/>
          <w:bCs/>
          <w:kern w:val="2"/>
          <w:sz w:val="20"/>
          <w:szCs w:val="20"/>
          <w:vertAlign w:val="baseline"/>
          <w:lang w:val="en-US" w:eastAsia="zh-CN" w:bidi="ar"/>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包括合同总金额20%的违约金及甲方因此遭受的全部损失，包括但不限于给甲方造成的实际损失、可预期利益，以及因维权所产生的诉讼费、律师费、公证费、保全费、差旅费等全部相关费用。</w:t>
      </w:r>
    </w:p>
    <w:p w14:paraId="2858D9B3">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不可抗力事件处理</w:t>
      </w:r>
    </w:p>
    <w:p w14:paraId="15C35107">
      <w:pPr>
        <w:keepNext w:val="0"/>
        <w:keepLines w:val="0"/>
        <w:widowControl w:val="0"/>
        <w:suppressLineNumbers w:val="0"/>
        <w:tabs>
          <w:tab w:val="left" w:pos="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1.在合同有效期内，任何一方因不可抗力事件导致不能履行合同，则合同履行期可延长，其延长期与不可抗力影响期相同。</w:t>
      </w:r>
    </w:p>
    <w:p w14:paraId="4B1D544C">
      <w:pPr>
        <w:keepNext w:val="0"/>
        <w:keepLines w:val="0"/>
        <w:widowControl w:val="0"/>
        <w:suppressLineNumbers w:val="0"/>
        <w:tabs>
          <w:tab w:val="left" w:pos="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2.不可抗力事件发生后，应立即通知对方，并寄送有关权威机构出具的证明。</w:t>
      </w:r>
    </w:p>
    <w:p w14:paraId="60B1D937">
      <w:pPr>
        <w:keepNext w:val="0"/>
        <w:keepLines w:val="0"/>
        <w:widowControl w:val="0"/>
        <w:suppressLineNumbers w:val="0"/>
        <w:tabs>
          <w:tab w:val="left" w:pos="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3.不可抗力事件延续</w:t>
      </w:r>
      <w:r>
        <w:rPr>
          <w:rFonts w:hint="eastAsia" w:ascii="仿宋" w:hAnsi="仿宋" w:eastAsia="仿宋" w:cs="仿宋"/>
          <w:color w:val="000000"/>
          <w:kern w:val="2"/>
          <w:sz w:val="20"/>
          <w:szCs w:val="20"/>
          <w:u w:val="single"/>
          <w:lang w:val="en-US" w:eastAsia="zh-CN" w:bidi="ar"/>
        </w:rPr>
        <w:t xml:space="preserve">  15  </w:t>
      </w:r>
      <w:r>
        <w:rPr>
          <w:rFonts w:hint="eastAsia" w:ascii="仿宋" w:hAnsi="仿宋" w:eastAsia="仿宋" w:cs="仿宋"/>
          <w:kern w:val="2"/>
          <w:sz w:val="20"/>
          <w:szCs w:val="20"/>
          <w:lang w:val="en-US" w:eastAsia="zh-CN" w:bidi="ar"/>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C77CC19">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bookmarkStart w:id="18" w:name="_Toc238984980"/>
      <w:bookmarkStart w:id="19" w:name="_Toc251768867"/>
      <w:bookmarkStart w:id="20" w:name="_Toc232492933"/>
      <w:bookmarkStart w:id="21" w:name="_Toc225670756"/>
      <w:bookmarkStart w:id="22" w:name="_Toc286993792"/>
      <w:bookmarkStart w:id="23" w:name="_Toc247334846"/>
      <w:bookmarkStart w:id="24" w:name="_Toc225654649"/>
      <w:bookmarkStart w:id="25" w:name="_Toc241833908"/>
      <w:bookmarkStart w:id="26" w:name="_Toc185395254"/>
      <w:bookmarkStart w:id="27" w:name="_Toc212019599"/>
      <w:bookmarkStart w:id="28" w:name="_Toc239233919"/>
      <w:bookmarkStart w:id="29" w:name="_Toc239568423"/>
      <w:bookmarkStart w:id="30" w:name="_Toc237145411"/>
      <w:bookmarkStart w:id="31" w:name="_Toc225244857"/>
      <w:bookmarkStart w:id="32" w:name="_Toc211911353"/>
      <w:bookmarkStart w:id="33" w:name="_Toc211854454"/>
      <w:r>
        <w:rPr>
          <w:rFonts w:hint="eastAsia" w:ascii="仿宋" w:hAnsi="仿宋" w:eastAsia="仿宋" w:cs="仿宋"/>
          <w:b/>
          <w:bCs w:val="0"/>
          <w:kern w:val="2"/>
          <w:sz w:val="20"/>
          <w:szCs w:val="20"/>
          <w:lang w:val="en-US" w:eastAsia="zh-CN" w:bidi="ar"/>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F7CC162">
      <w:pPr>
        <w:keepNext w:val="0"/>
        <w:keepLines w:val="0"/>
        <w:widowControl w:val="0"/>
        <w:suppressLineNumbers w:val="0"/>
        <w:tabs>
          <w:tab w:val="left" w:pos="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1.在执行本合同中发生的或与本合同有关的争端，双方应通过友好协商解决，经协商在</w:t>
      </w:r>
      <w:r>
        <w:rPr>
          <w:rFonts w:hint="eastAsia" w:ascii="仿宋" w:hAnsi="仿宋" w:eastAsia="仿宋" w:cs="仿宋"/>
          <w:color w:val="000000"/>
          <w:kern w:val="2"/>
          <w:sz w:val="20"/>
          <w:szCs w:val="20"/>
          <w:u w:val="single"/>
          <w:lang w:val="en-US" w:eastAsia="zh-CN" w:bidi="ar"/>
        </w:rPr>
        <w:t xml:space="preserve"> 5  </w:t>
      </w:r>
      <w:r>
        <w:rPr>
          <w:rFonts w:hint="eastAsia" w:ascii="仿宋" w:hAnsi="仿宋" w:eastAsia="仿宋" w:cs="仿宋"/>
          <w:kern w:val="2"/>
          <w:sz w:val="20"/>
          <w:szCs w:val="20"/>
          <w:lang w:val="en-US" w:eastAsia="zh-CN" w:bidi="ar"/>
        </w:rPr>
        <w:t>天内不能达成协议时，应提交</w:t>
      </w:r>
      <w:r>
        <w:rPr>
          <w:rFonts w:hint="eastAsia" w:ascii="仿宋" w:hAnsi="仿宋" w:eastAsia="仿宋" w:cs="仿宋"/>
          <w:kern w:val="2"/>
          <w:sz w:val="20"/>
          <w:szCs w:val="20"/>
          <w:u w:val="single"/>
          <w:lang w:val="en-US" w:eastAsia="zh-CN" w:bidi="ar"/>
        </w:rPr>
        <w:t>西安仲裁委员会</w:t>
      </w:r>
      <w:r>
        <w:rPr>
          <w:rFonts w:hint="eastAsia" w:ascii="仿宋" w:hAnsi="仿宋" w:eastAsia="仿宋" w:cs="仿宋"/>
          <w:kern w:val="2"/>
          <w:sz w:val="20"/>
          <w:szCs w:val="20"/>
          <w:lang w:val="en-US" w:eastAsia="zh-CN" w:bidi="ar"/>
        </w:rPr>
        <w:t>予以进行仲裁。</w:t>
      </w:r>
    </w:p>
    <w:p w14:paraId="63B18881">
      <w:pPr>
        <w:keepNext w:val="0"/>
        <w:keepLines w:val="0"/>
        <w:widowControl w:val="0"/>
        <w:suppressLineNumbers w:val="0"/>
        <w:tabs>
          <w:tab w:val="left" w:pos="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2.仲裁裁决应为最终决定，并对双方具有约束力。</w:t>
      </w:r>
    </w:p>
    <w:p w14:paraId="33BB3691">
      <w:pPr>
        <w:keepNext w:val="0"/>
        <w:keepLines w:val="0"/>
        <w:widowControl w:val="0"/>
        <w:suppressLineNumbers w:val="0"/>
        <w:tabs>
          <w:tab w:val="left" w:pos="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3.除另有裁决外，仲裁费应由败诉方负担。 </w:t>
      </w:r>
    </w:p>
    <w:p w14:paraId="5ECD00A6">
      <w:pPr>
        <w:keepNext w:val="0"/>
        <w:keepLines w:val="0"/>
        <w:widowControl w:val="0"/>
        <w:suppressLineNumbers w:val="0"/>
        <w:tabs>
          <w:tab w:val="left" w:pos="0"/>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 xml:space="preserve">4.在仲裁期间，除正在进行仲裁部分外，合同其他部分继续执行。  </w:t>
      </w:r>
    </w:p>
    <w:p w14:paraId="5006C89F">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bookmarkStart w:id="34" w:name="_Toc239233920"/>
      <w:bookmarkStart w:id="35" w:name="_Toc225670757"/>
      <w:bookmarkStart w:id="36" w:name="_Toc211854455"/>
      <w:bookmarkStart w:id="37" w:name="_Toc232492934"/>
      <w:bookmarkStart w:id="38" w:name="_Toc241833909"/>
      <w:bookmarkStart w:id="39" w:name="_Toc211911354"/>
      <w:bookmarkStart w:id="40" w:name="_Toc239568424"/>
      <w:bookmarkStart w:id="41" w:name="_Toc283019219"/>
      <w:bookmarkStart w:id="42" w:name="_Toc237145412"/>
      <w:bookmarkStart w:id="43" w:name="_Toc282696231"/>
      <w:bookmarkStart w:id="44" w:name="_Toc286993793"/>
      <w:bookmarkStart w:id="45" w:name="_Toc185395255"/>
      <w:bookmarkStart w:id="46" w:name="_Toc212019600"/>
      <w:bookmarkStart w:id="47" w:name="_Toc251768868"/>
      <w:bookmarkStart w:id="48" w:name="_Toc247334847"/>
      <w:bookmarkStart w:id="49" w:name="_Toc225244858"/>
      <w:bookmarkStart w:id="50" w:name="_Toc225654650"/>
      <w:bookmarkStart w:id="51" w:name="_Toc238984981"/>
      <w:r>
        <w:rPr>
          <w:rFonts w:hint="eastAsia" w:ascii="仿宋" w:hAnsi="仿宋" w:eastAsia="仿宋" w:cs="仿宋"/>
          <w:b/>
          <w:bCs w:val="0"/>
          <w:kern w:val="2"/>
          <w:sz w:val="20"/>
          <w:szCs w:val="20"/>
          <w:lang w:val="en-US" w:eastAsia="zh-CN" w:bidi="ar"/>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bCs w:val="0"/>
          <w:kern w:val="2"/>
          <w:sz w:val="20"/>
          <w:szCs w:val="20"/>
          <w:lang w:val="en-US" w:eastAsia="zh-CN" w:bidi="ar"/>
        </w:rPr>
        <w:t>生效及其他</w:t>
      </w:r>
    </w:p>
    <w:p w14:paraId="17953CD5">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1.合同经双方法定代表人或授权委托代理人签字并加盖单位公章后生效。</w:t>
      </w:r>
    </w:p>
    <w:p w14:paraId="2D8ED029">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2.合同执行中涉及资金和采购内容修改或补充的，须经甲方监督部门审批，并签书面补充协议报甲方相关行政部门备案，方可作为主合同不可分割的一部分。</w:t>
      </w:r>
    </w:p>
    <w:p w14:paraId="4178AF99">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3.本合同一式</w:t>
      </w:r>
      <w:r>
        <w:rPr>
          <w:rFonts w:hint="eastAsia" w:ascii="仿宋" w:hAnsi="仿宋" w:eastAsia="仿宋" w:cs="仿宋"/>
          <w:color w:val="000000"/>
          <w:kern w:val="2"/>
          <w:sz w:val="20"/>
          <w:szCs w:val="20"/>
          <w:lang w:val="en-US" w:eastAsia="zh-CN" w:bidi="ar"/>
        </w:rPr>
        <w:t>陆</w:t>
      </w:r>
      <w:r>
        <w:rPr>
          <w:rFonts w:hint="eastAsia" w:ascii="仿宋" w:hAnsi="仿宋" w:eastAsia="仿宋" w:cs="仿宋"/>
          <w:kern w:val="2"/>
          <w:sz w:val="20"/>
          <w:szCs w:val="20"/>
          <w:lang w:val="en-US" w:eastAsia="zh-CN" w:bidi="ar"/>
        </w:rPr>
        <w:t>份，自双方签章之日起起效。甲方</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份，乙方</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份，具有同等法律效力。</w:t>
      </w:r>
    </w:p>
    <w:p w14:paraId="23510DDF">
      <w:pPr>
        <w:keepNext w:val="0"/>
        <w:keepLines w:val="0"/>
        <w:widowControl w:val="0"/>
        <w:numPr>
          <w:ilvl w:val="0"/>
          <w:numId w:val="1"/>
        </w:numPr>
        <w:suppressLineNumbers w:val="0"/>
        <w:spacing w:before="0" w:beforeAutospacing="0" w:after="0" w:afterAutospacing="0" w:line="360" w:lineRule="auto"/>
        <w:ind w:left="1521" w:right="0" w:hanging="1095"/>
        <w:jc w:val="both"/>
        <w:rPr>
          <w:rFonts w:hint="eastAsia" w:ascii="仿宋" w:hAnsi="仿宋" w:eastAsia="仿宋" w:cs="仿宋"/>
          <w:b/>
          <w:bCs w:val="0"/>
          <w:sz w:val="20"/>
          <w:szCs w:val="20"/>
          <w:lang w:val="en-US"/>
        </w:rPr>
      </w:pPr>
      <w:r>
        <w:rPr>
          <w:rFonts w:hint="eastAsia" w:ascii="仿宋" w:hAnsi="仿宋" w:eastAsia="仿宋" w:cs="仿宋"/>
          <w:b/>
          <w:bCs w:val="0"/>
          <w:kern w:val="2"/>
          <w:sz w:val="20"/>
          <w:szCs w:val="20"/>
          <w:lang w:val="en-US" w:eastAsia="zh-CN" w:bidi="ar"/>
        </w:rPr>
        <w:t>附件</w:t>
      </w:r>
    </w:p>
    <w:p w14:paraId="1B341E7F">
      <w:pPr>
        <w:keepNext w:val="0"/>
        <w:keepLines w:val="0"/>
        <w:widowControl w:val="0"/>
        <w:suppressLineNumbers w:val="0"/>
        <w:tabs>
          <w:tab w:val="center" w:pos="4153"/>
        </w:tabs>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1.单一来源采购文件</w:t>
      </w:r>
      <w:r>
        <w:rPr>
          <w:rFonts w:hint="eastAsia" w:ascii="仿宋" w:hAnsi="仿宋" w:eastAsia="仿宋" w:cs="仿宋"/>
          <w:kern w:val="2"/>
          <w:sz w:val="20"/>
          <w:szCs w:val="20"/>
          <w:lang w:val="en-US" w:eastAsia="zh-CN" w:bidi="ar"/>
        </w:rPr>
        <w:tab/>
      </w:r>
    </w:p>
    <w:p w14:paraId="2DD49BDF">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2.澄清（或答疑）文件</w:t>
      </w:r>
    </w:p>
    <w:p w14:paraId="008BB304">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3.单一来源响应文件</w:t>
      </w:r>
    </w:p>
    <w:p w14:paraId="60D73BAA">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4.成交通知书</w:t>
      </w:r>
    </w:p>
    <w:p w14:paraId="2B81553B">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5.其他</w:t>
      </w:r>
    </w:p>
    <w:p w14:paraId="7E4874BF">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br w:type="page"/>
      </w:r>
    </w:p>
    <w:p w14:paraId="278DC56E">
      <w:pPr>
        <w:keepNext w:val="0"/>
        <w:keepLines w:val="0"/>
        <w:widowControl w:val="0"/>
        <w:suppressLineNumbers w:val="0"/>
        <w:spacing w:before="0" w:beforeAutospacing="0" w:after="0" w:afterAutospacing="0"/>
        <w:ind w:left="0" w:right="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甲方：</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（盖章）   </w:t>
      </w:r>
      <w:r>
        <w:rPr>
          <w:rFonts w:hint="eastAsia" w:ascii="仿宋" w:hAnsi="仿宋" w:eastAsia="仿宋" w:cs="仿宋"/>
          <w:kern w:val="2"/>
          <w:sz w:val="20"/>
          <w:szCs w:val="20"/>
          <w:lang w:val="en-US" w:eastAsia="zh-CN" w:bidi="ar"/>
        </w:rPr>
        <w:tab/>
        <w:t/>
      </w:r>
      <w:r>
        <w:rPr>
          <w:rFonts w:hint="eastAsia" w:ascii="仿宋" w:hAnsi="仿宋" w:eastAsia="仿宋" w:cs="仿宋"/>
          <w:kern w:val="2"/>
          <w:sz w:val="20"/>
          <w:szCs w:val="20"/>
          <w:lang w:val="en-US" w:eastAsia="zh-CN" w:bidi="ar"/>
        </w:rPr>
        <w:tab/>
        <w:t/>
      </w:r>
      <w:r>
        <w:rPr>
          <w:rFonts w:hint="eastAsia" w:ascii="仿宋" w:hAnsi="仿宋" w:eastAsia="仿宋" w:cs="仿宋"/>
          <w:kern w:val="2"/>
          <w:sz w:val="20"/>
          <w:szCs w:val="20"/>
          <w:lang w:val="en-US" w:eastAsia="zh-CN" w:bidi="ar"/>
        </w:rPr>
        <w:tab/>
        <w:t xml:space="preserve"> 乙方：</w:t>
      </w:r>
      <w:r>
        <w:rPr>
          <w:rFonts w:hint="eastAsia" w:ascii="仿宋" w:hAnsi="仿宋" w:eastAsia="仿宋" w:cs="仿宋"/>
          <w:kern w:val="2"/>
          <w:sz w:val="20"/>
          <w:szCs w:val="20"/>
          <w:u w:val="single"/>
          <w:lang w:val="en-US" w:eastAsia="zh-CN" w:bidi="ar"/>
        </w:rPr>
        <w:t xml:space="preserve">        </w:t>
      </w:r>
      <w:r>
        <w:rPr>
          <w:rFonts w:hint="eastAsia" w:ascii="仿宋" w:hAnsi="仿宋" w:eastAsia="仿宋" w:cs="仿宋"/>
          <w:kern w:val="2"/>
          <w:sz w:val="20"/>
          <w:szCs w:val="20"/>
          <w:lang w:val="en-US" w:eastAsia="zh-CN" w:bidi="ar"/>
        </w:rPr>
        <w:t xml:space="preserve">（盖章） </w:t>
      </w:r>
    </w:p>
    <w:p w14:paraId="73B9B201">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51ACE790">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法定代表人（授权代表）：           法定代表人（授权代表）：</w:t>
      </w:r>
    </w:p>
    <w:p w14:paraId="01818CB0">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21F135D7">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地    址：                         地    址：</w:t>
      </w:r>
    </w:p>
    <w:p w14:paraId="49D3655A">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025AF35E">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开户银行：                         开户银行：</w:t>
      </w:r>
    </w:p>
    <w:p w14:paraId="36D9D3B5">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03C02CD1">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账号：                             账号：</w:t>
      </w:r>
    </w:p>
    <w:p w14:paraId="38EB10ED">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07C9ACA0">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电    话：                         电    话：</w:t>
      </w:r>
    </w:p>
    <w:p w14:paraId="46C04C76">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p>
    <w:p w14:paraId="2BF14152">
      <w:pPr>
        <w:keepNext w:val="0"/>
        <w:keepLines w:val="0"/>
        <w:widowControl w:val="0"/>
        <w:suppressLineNumbers w:val="0"/>
        <w:spacing w:before="0" w:beforeAutospacing="0" w:after="0" w:afterAutospacing="0" w:line="360" w:lineRule="auto"/>
        <w:ind w:left="0" w:right="0" w:firstLine="400" w:firstLineChars="200"/>
        <w:jc w:val="both"/>
        <w:rPr>
          <w:rFonts w:hint="eastAsia" w:ascii="仿宋" w:hAnsi="仿宋" w:eastAsia="仿宋" w:cs="仿宋"/>
          <w:sz w:val="20"/>
          <w:szCs w:val="20"/>
          <w:lang w:val="en-US"/>
        </w:rPr>
      </w:pPr>
      <w:r>
        <w:rPr>
          <w:rFonts w:hint="eastAsia" w:ascii="仿宋" w:hAnsi="仿宋" w:eastAsia="仿宋" w:cs="仿宋"/>
          <w:kern w:val="2"/>
          <w:sz w:val="20"/>
          <w:szCs w:val="20"/>
          <w:lang w:val="en-US" w:eastAsia="zh-CN" w:bidi="ar"/>
        </w:rPr>
        <w:t>传    真：                         传    真：</w:t>
      </w:r>
    </w:p>
    <w:p w14:paraId="2A4F15A1">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sz w:val="20"/>
          <w:szCs w:val="20"/>
          <w:lang w:val="en-US"/>
        </w:rPr>
      </w:pPr>
    </w:p>
    <w:p w14:paraId="5FE5CD81">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sz w:val="20"/>
          <w:szCs w:val="20"/>
          <w:lang w:val="en-US"/>
        </w:rPr>
      </w:pPr>
      <w:r>
        <w:rPr>
          <w:rFonts w:hint="eastAsia" w:ascii="仿宋" w:hAnsi="仿宋" w:eastAsia="仿宋" w:cs="仿宋"/>
          <w:kern w:val="2"/>
          <w:sz w:val="20"/>
          <w:szCs w:val="20"/>
          <w:lang w:val="en-US" w:eastAsia="zh-CN" w:bidi="ar"/>
        </w:rPr>
        <w:t>签约日期：</w:t>
      </w:r>
      <w:r>
        <w:rPr>
          <w:rFonts w:hint="eastAsia" w:ascii="仿宋" w:hAnsi="仿宋" w:eastAsia="仿宋" w:cs="仿宋"/>
          <w:color w:val="000000"/>
          <w:kern w:val="2"/>
          <w:sz w:val="20"/>
          <w:szCs w:val="20"/>
          <w:lang w:val="en-US" w:eastAsia="zh-CN" w:bidi="ar"/>
        </w:rPr>
        <w:t xml:space="preserve">    </w:t>
      </w:r>
      <w:r>
        <w:rPr>
          <w:rFonts w:hint="eastAsia" w:ascii="仿宋" w:hAnsi="仿宋" w:eastAsia="仿宋" w:cs="仿宋"/>
          <w:kern w:val="2"/>
          <w:sz w:val="20"/>
          <w:szCs w:val="20"/>
          <w:lang w:val="en-US" w:eastAsia="zh-CN" w:bidi="ar"/>
        </w:rPr>
        <w:t>年</w:t>
      </w:r>
      <w:r>
        <w:rPr>
          <w:rFonts w:hint="eastAsia" w:ascii="仿宋" w:hAnsi="仿宋" w:eastAsia="仿宋" w:cs="仿宋"/>
          <w:color w:val="000000"/>
          <w:kern w:val="2"/>
          <w:sz w:val="20"/>
          <w:szCs w:val="20"/>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color w:val="000000"/>
          <w:kern w:val="2"/>
          <w:sz w:val="20"/>
          <w:szCs w:val="20"/>
          <w:lang w:val="en-US" w:eastAsia="zh-CN" w:bidi="ar"/>
        </w:rPr>
        <w:t xml:space="preserve">    </w:t>
      </w:r>
      <w:r>
        <w:rPr>
          <w:rFonts w:hint="eastAsia" w:ascii="仿宋" w:hAnsi="仿宋" w:eastAsia="仿宋" w:cs="仿宋"/>
          <w:kern w:val="2"/>
          <w:sz w:val="20"/>
          <w:szCs w:val="20"/>
          <w:lang w:val="en-US" w:eastAsia="zh-CN" w:bidi="ar"/>
        </w:rPr>
        <w:t xml:space="preserve">日 </w:t>
      </w:r>
      <w:r>
        <w:rPr>
          <w:rFonts w:hint="eastAsia" w:ascii="仿宋" w:hAnsi="仿宋" w:eastAsia="仿宋" w:cs="仿宋"/>
          <w:kern w:val="2"/>
          <w:sz w:val="20"/>
          <w:szCs w:val="20"/>
          <w:lang w:val="en-US" w:eastAsia="zh-CN" w:bidi="ar"/>
        </w:rPr>
        <w:tab/>
        <w:t/>
      </w:r>
      <w:r>
        <w:rPr>
          <w:rFonts w:hint="eastAsia" w:ascii="仿宋" w:hAnsi="仿宋" w:eastAsia="仿宋" w:cs="仿宋"/>
          <w:kern w:val="2"/>
          <w:sz w:val="20"/>
          <w:szCs w:val="20"/>
          <w:lang w:val="en-US" w:eastAsia="zh-CN" w:bidi="ar"/>
        </w:rPr>
        <w:tab/>
        <w:t>签约日期：</w:t>
      </w:r>
      <w:r>
        <w:rPr>
          <w:rFonts w:hint="eastAsia" w:ascii="仿宋" w:hAnsi="仿宋" w:eastAsia="仿宋" w:cs="仿宋"/>
          <w:color w:val="000000"/>
          <w:kern w:val="2"/>
          <w:sz w:val="20"/>
          <w:szCs w:val="20"/>
          <w:lang w:val="en-US" w:eastAsia="zh-CN" w:bidi="ar"/>
        </w:rPr>
        <w:t xml:space="preserve">    </w:t>
      </w:r>
      <w:r>
        <w:rPr>
          <w:rFonts w:hint="eastAsia" w:ascii="仿宋" w:hAnsi="仿宋" w:eastAsia="仿宋" w:cs="仿宋"/>
          <w:kern w:val="2"/>
          <w:sz w:val="20"/>
          <w:szCs w:val="20"/>
          <w:lang w:val="en-US" w:eastAsia="zh-CN" w:bidi="ar"/>
        </w:rPr>
        <w:t>年</w:t>
      </w:r>
      <w:r>
        <w:rPr>
          <w:rFonts w:hint="eastAsia" w:ascii="仿宋" w:hAnsi="仿宋" w:eastAsia="仿宋" w:cs="仿宋"/>
          <w:color w:val="000000"/>
          <w:kern w:val="2"/>
          <w:sz w:val="20"/>
          <w:szCs w:val="20"/>
          <w:lang w:val="en-US" w:eastAsia="zh-CN" w:bidi="ar"/>
        </w:rPr>
        <w:t xml:space="preserve">   </w:t>
      </w:r>
      <w:r>
        <w:rPr>
          <w:rFonts w:hint="eastAsia" w:ascii="仿宋" w:hAnsi="仿宋" w:eastAsia="仿宋" w:cs="仿宋"/>
          <w:kern w:val="2"/>
          <w:sz w:val="20"/>
          <w:szCs w:val="20"/>
          <w:lang w:val="en-US" w:eastAsia="zh-CN" w:bidi="ar"/>
        </w:rPr>
        <w:t>月</w:t>
      </w:r>
      <w:r>
        <w:rPr>
          <w:rFonts w:hint="eastAsia" w:ascii="仿宋" w:hAnsi="仿宋" w:eastAsia="仿宋" w:cs="仿宋"/>
          <w:color w:val="000000"/>
          <w:kern w:val="2"/>
          <w:sz w:val="20"/>
          <w:szCs w:val="20"/>
          <w:lang w:val="en-US" w:eastAsia="zh-CN" w:bidi="ar"/>
        </w:rPr>
        <w:t xml:space="preserve">    </w:t>
      </w:r>
      <w:r>
        <w:rPr>
          <w:rFonts w:hint="eastAsia" w:ascii="仿宋" w:hAnsi="仿宋" w:eastAsia="仿宋" w:cs="仿宋"/>
          <w:kern w:val="2"/>
          <w:sz w:val="20"/>
          <w:szCs w:val="20"/>
          <w:lang w:val="en-US" w:eastAsia="zh-CN" w:bidi="ar"/>
        </w:rPr>
        <w:t xml:space="preserve">日 </w:t>
      </w:r>
    </w:p>
    <w:p w14:paraId="7A4E9E96">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Cs/>
          <w:sz w:val="20"/>
          <w:szCs w:val="20"/>
          <w:lang w:val="en-US"/>
        </w:rPr>
      </w:pPr>
      <w:r>
        <w:rPr>
          <w:rFonts w:hint="eastAsia" w:ascii="仿宋" w:hAnsi="仿宋" w:eastAsia="仿宋" w:cs="仿宋"/>
          <w:b/>
          <w:bCs w:val="0"/>
          <w:kern w:val="2"/>
          <w:sz w:val="20"/>
          <w:szCs w:val="20"/>
          <w:lang w:val="en-US" w:eastAsia="zh-CN" w:bidi="ar"/>
        </w:rPr>
        <w:t xml:space="preserve"> </w:t>
      </w:r>
    </w:p>
    <w:p w14:paraId="54B09116">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sz w:val="20"/>
          <w:szCs w:val="20"/>
          <w:lang w:val="en-US"/>
        </w:rPr>
      </w:pPr>
      <w:r>
        <w:rPr>
          <w:rFonts w:hint="eastAsia" w:ascii="仿宋" w:hAnsi="仿宋" w:eastAsia="仿宋" w:cs="仿宋"/>
          <w:kern w:val="2"/>
          <w:sz w:val="20"/>
          <w:szCs w:val="20"/>
          <w:lang w:val="en-US" w:eastAsia="zh-CN" w:bidi="ar"/>
        </w:rPr>
        <w:t>签订地点：</w:t>
      </w:r>
      <w:r>
        <w:rPr>
          <w:rFonts w:hint="eastAsia" w:ascii="仿宋" w:hAnsi="仿宋" w:eastAsia="仿宋" w:cs="仿宋"/>
          <w:kern w:val="2"/>
          <w:sz w:val="20"/>
          <w:szCs w:val="20"/>
          <w:u w:val="single"/>
          <w:lang w:val="en-US" w:eastAsia="zh-CN" w:bidi="ar"/>
        </w:rPr>
        <w:t xml:space="preserve">                       </w:t>
      </w:r>
    </w:p>
    <w:p w14:paraId="785CF0B7">
      <w:pPr>
        <w:keepNext/>
        <w:keepLines w:val="0"/>
        <w:widowControl w:val="0"/>
        <w:suppressLineNumbers w:val="0"/>
        <w:spacing w:before="0" w:beforeAutospacing="0" w:after="0" w:afterAutospacing="0"/>
        <w:ind w:left="0" w:right="0" w:firstLine="480" w:firstLineChars="200"/>
        <w:jc w:val="both"/>
        <w:outlineLvl w:val="0"/>
        <w:rPr>
          <w:rFonts w:hint="eastAsia" w:ascii="仿宋" w:hAnsi="仿宋" w:eastAsia="仿宋" w:cs="仿宋"/>
          <w:sz w:val="24"/>
          <w:szCs w:val="24"/>
          <w:u w:val="single"/>
          <w:lang w:val="en-US"/>
        </w:rPr>
      </w:pPr>
    </w:p>
    <w:p w14:paraId="140B7E8A">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35AEF3C5">
      <w:pPr>
        <w:pStyle w:val="6"/>
        <w:widowControl/>
        <w:rPr>
          <w:lang w:val="en-US"/>
        </w:rPr>
      </w:pPr>
    </w:p>
    <w:p w14:paraId="77DD0B68"/>
    <w:sectPr>
      <w:pgSz w:w="11906" w:h="16838"/>
      <w:pgMar w:top="1440" w:right="1800" w:bottom="1440" w:left="1800" w:header="851" w:footer="992"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2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fixed"/>
    <w:sig w:usb0="800002BF" w:usb1="38CF7CFA" w:usb2="00000016" w:usb3="00000000" w:csb0="00040001" w:csb1="00000000"/>
  </w:font>
  <w:font w:name="Lucida Sans Unicode">
    <w:panose1 w:val="020B0602030504020204"/>
    <w:charset w:val="00"/>
    <w:family w:val="auto"/>
    <w:pitch w:val="variable"/>
    <w:sig w:usb0="80001AFF" w:usb1="0000396B" w:usb2="00000000" w:usb3="00000000" w:csb0="200000BF" w:csb1="D7F70000"/>
  </w:font>
  <w:font w:name="Courier New">
    <w:panose1 w:val="02070309020205020404"/>
    <w:charset w:val="00"/>
    <w:family w:val="auto"/>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27C7E9"/>
    <w:multiLevelType w:val="multilevel"/>
    <w:tmpl w:val="BC27C7E9"/>
    <w:lvl w:ilvl="0" w:tentative="0">
      <w:start w:val="1"/>
      <w:numFmt w:val="japaneseCounting"/>
      <w:lvlText w:val="第%1条"/>
      <w:lvlJc w:val="left"/>
      <w:pPr>
        <w:tabs>
          <w:tab w:val="left" w:pos="1521"/>
        </w:tabs>
        <w:ind w:left="1521" w:hanging="1095"/>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032D6292"/>
    <w:multiLevelType w:val="multilevel"/>
    <w:tmpl w:val="032D6292"/>
    <w:lvl w:ilvl="0" w:tentative="0">
      <w:start w:val="1"/>
      <w:numFmt w:val="chineseCountingThousand"/>
      <w:suff w:val="nothing"/>
      <w:lvlText w:val="(%1)"/>
      <w:lvlJc w:val="left"/>
      <w:pPr>
        <w:ind w:left="420" w:hanging="420"/>
      </w:pPr>
      <w:rPr>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428A3"/>
    <w:rsid w:val="12742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7"/>
    <w:uiPriority w:val="0"/>
    <w:pPr>
      <w:spacing w:after="120" w:afterLines="0" w:afterAutospacing="0"/>
    </w:pPr>
  </w:style>
  <w:style w:type="paragraph" w:customStyle="1" w:styleId="5">
    <w:name w:val="HTML 预设格式1"/>
    <w:basedOn w:val="1"/>
    <w:uiPriority w:val="0"/>
    <w:pPr>
      <w:keepNext w:val="0"/>
      <w:keepLines w:val="0"/>
      <w:widowControl w:val="0"/>
      <w:suppressLineNumbers w:val="0"/>
      <w:spacing w:before="0" w:beforeAutospacing="0" w:after="0" w:afterAutospacing="0"/>
      <w:ind w:left="0" w:right="0"/>
      <w:jc w:val="both"/>
    </w:pPr>
    <w:rPr>
      <w:rFonts w:ascii="Courier New" w:hAnsi="Courier New" w:eastAsia="宋体" w:cs="Times New Roman"/>
      <w:kern w:val="2"/>
      <w:sz w:val="20"/>
      <w:szCs w:val="20"/>
      <w:lang w:val="en-US" w:eastAsia="zh-CN" w:bidi="ar"/>
    </w:rPr>
  </w:style>
  <w:style w:type="paragraph" w:customStyle="1" w:styleId="6">
    <w:name w:val="null3"/>
    <w:basedOn w:val="1"/>
    <w:uiPriority w:val="0"/>
    <w:pPr>
      <w:keepNext w:val="0"/>
      <w:keepLines w:val="0"/>
      <w:widowControl/>
      <w:suppressLineNumbers w:val="0"/>
      <w:spacing w:before="0" w:beforeAutospacing="0" w:after="0" w:afterAutospacing="0"/>
      <w:ind w:left="0" w:right="0"/>
      <w:jc w:val="left"/>
    </w:pPr>
    <w:rPr>
      <w:rFonts w:hint="default" w:ascii="Calibri" w:hAnsi="Calibri" w:eastAsia="宋体" w:cs="Times New Roman"/>
      <w:kern w:val="0"/>
      <w:sz w:val="20"/>
      <w:szCs w:val="20"/>
      <w:lang w:val="en-US" w:eastAsia="zh-CN" w:bidi="ar"/>
    </w:rPr>
  </w:style>
  <w:style w:type="character" w:customStyle="1" w:styleId="7">
    <w:name w:val="正文文本 字符"/>
    <w:basedOn w:val="4"/>
    <w:link w:val="2"/>
    <w:uiPriority w:val="0"/>
    <w:rPr>
      <w:rFonts w:hint="eastAsia" w:ascii="宋体" w:hAnsi="宋体" w:eastAsia="宋体" w:cs="宋体"/>
      <w:kern w:val="2"/>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2025-05-20T02:02:00Z</dcterms:created>
  <dc:creator>省略号君</dc:creator>
  <cp:lastModifiedBy>省略号君</cp:lastModifiedBy>
  <dcterms:modified xsi:type="dcterms:W3CDTF">2025-05-20T02:02:44Z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73EF1EF6C3CA4C06946D4E8C06EED0AD_11</vt:lpwstr>
  </property>
  <property fmtid="{D5CDD505-2E9C-101B-9397-08002B2CF9AE}" pid="4" name="KSOTemplateDocerSaveRecord">
    <vt:lpwstr>eyJoZGlkIjoiODg4ZTQ0YmZmMzhlYmY5ZDkzYmFhMTdhNmFjZDI2MDYiLCJ1c2VySWQiOiIyMzE3Mjk5MDAifQ==</vt:lpwstr>
  </property>
</Properties>
</file>