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版本号：0617-2524HZ110120250520001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手术床类设备采购项目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0617-2524HZ1101</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手术床类设备采购项目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0617-2524HZ1101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手术床类设备采购项目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西安市人民医院(西安市第四医院)是一所公立三级甲等综合医院，医院分为大差市和航天城两个院区,总占地面积204.7亩,其中大差市院区31.4亩，航天城院区 173.3 亩。2025我院年航天院区第5平台新开手术间，眼科手术床为眼科手术患者的承载平台，在眼科手术间作用之分广泛，供白内障、青光眼、视网膜手术使用减少患者不适，降低手术风险。大差市院区第十诊区共有六间手术室，目前已报废2张手术床，新开的外科门诊手术间没有手术床故申请电动手术台1张；第6平台(大差市)有10个手术间，10张手术床，但有几张床的使用年限超过10年以上，存在较大的安全隐患，故申请2张综合手术床分批更新，确保患者使用安全；航天院区急诊大楼中有手术间，单目前缺少外科手术床，故申请外科手术床1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1、法定代表人或被授权人参加：被授权代表参与的提供法定代表人授权书；法定代表人直接参与的提供法定代表人身份证明。</w:t>
      </w:r>
    </w:p>
    <w:p>
      <w:pPr>
        <w:pStyle w:val="null3"/>
      </w:pPr>
      <w:r>
        <w:rPr>
          <w:rFonts w:ascii="仿宋_GB2312" w:hAnsi="仿宋_GB2312" w:cs="仿宋_GB2312" w:eastAsia="仿宋_GB2312"/>
        </w:rPr>
        <w:t>2、医疗器械经营许可证或备案证：医疗器械经营许可证或备案证：提供相关证明材料</w:t>
      </w:r>
    </w:p>
    <w:p>
      <w:pPr>
        <w:pStyle w:val="null3"/>
      </w:pPr>
      <w:r>
        <w:rPr>
          <w:rFonts w:ascii="仿宋_GB2312" w:hAnsi="仿宋_GB2312" w:cs="仿宋_GB2312" w:eastAsia="仿宋_GB2312"/>
        </w:rPr>
        <w:t>3、属于医疗器械管理范围的产品需提供医疗器械注册证或备案凭证，不属于医疗器械管理范畴的产品提供相关证明材料：属于医疗器械管理范围的产品需提供医疗器械注册证或备案凭证，不属于医疗器械管理范畴的产品提供相关证明材料：提供相关证明材料</w:t>
      </w:r>
    </w:p>
    <w:p>
      <w:pPr>
        <w:pStyle w:val="null3"/>
      </w:pPr>
      <w:r>
        <w:rPr>
          <w:rFonts w:ascii="仿宋_GB2312" w:hAnsi="仿宋_GB2312" w:cs="仿宋_GB2312" w:eastAsia="仿宋_GB2312"/>
        </w:rPr>
        <w:t>4、信用信息查询 ：在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p>
      <w:pPr>
        <w:pStyle w:val="null3"/>
      </w:pPr>
      <w:r>
        <w:rPr>
          <w:rFonts w:ascii="仿宋_GB2312" w:hAnsi="仿宋_GB2312" w:cs="仿宋_GB2312" w:eastAsia="仿宋_GB2312"/>
        </w:rPr>
        <w:t>5、本项目不接受联合体投标：本项目不接受联合体投标：提供声明文件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王蕾、李瑞、周小方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西安市人民医院(西安市第四医院)是一所公立三级甲等综合医院，医院分为大差市和航天城两个院区,总占地面积204.7亩,其中大差市院区31.4亩，航天城院区 173.3 亩。2025我院年航天院区第5平台新开手术间，眼科手术床为眼科手术患者的承载平台，在眼科手术间作用之分广泛，供白内障、青光眼、视网膜手术使用减少患者不适，降低手术风险。大差市院区第十诊区共有六间手术室，目前已报废2张手术床，新开的外科门诊手术间没有手术床故申请电动手术台1张；第6平台(大差市)有10个手术间，10张手术床，但有几张床的使用年限超过10年以上，存在较大的安全隐患，故申请2张综合手术床分批更新，确保患者使用安全；航天院区急诊大楼中有手术间，单目前缺少外科手术床，故申请外科手术床1张。</w:t>
      </w:r>
    </w:p>
    <w:p>
      <w:pPr>
        <w:pStyle w:val="null3"/>
        <w:numPr>
          <w:ilvl w:val="0"/>
          <w:numId w:val="1"/>
        </w:numPr>
        <w:jc w:val="both"/>
      </w:pPr>
      <w:r>
        <w:rPr>
          <w:rFonts w:ascii="仿宋_GB2312" w:hAnsi="仿宋_GB2312" w:cs="仿宋_GB2312" w:eastAsia="仿宋_GB2312"/>
        </w:rPr>
        <w:t>采购内容及数量</w:t>
      </w:r>
    </w:p>
    <w:tbl>
      <w:tblPr>
        <w:tblW w:w="0" w:type="auto"/>
        <w:tblBorders>
          <w:top w:val="none" w:color="000000" w:sz="4"/>
          <w:left w:val="none" w:color="000000" w:sz="4"/>
          <w:bottom w:val="none" w:color="000000" w:sz="4"/>
          <w:right w:val="none" w:color="000000" w:sz="4"/>
          <w:insideH w:val="none"/>
          <w:insideV w:val="none"/>
        </w:tblBorders>
      </w:tblPr>
      <w:tblGrid>
        <w:gridCol w:w="667"/>
        <w:gridCol w:w="2626"/>
        <w:gridCol w:w="809"/>
        <w:gridCol w:w="667"/>
        <w:gridCol w:w="1263"/>
        <w:gridCol w:w="1121"/>
        <w:gridCol w:w="1121"/>
      </w:tblGrid>
      <w:tr>
        <w:tc>
          <w:tcPr>
            <w:tcW w:type="dxa" w:w="6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品目</w:t>
            </w:r>
          </w:p>
        </w:tc>
        <w:tc>
          <w:tcPr>
            <w:tcW w:type="dxa" w:w="262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分项名称</w:t>
            </w:r>
          </w:p>
        </w:tc>
        <w:tc>
          <w:tcPr>
            <w:tcW w:type="dxa" w:w="80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国产</w:t>
            </w:r>
            <w:r>
              <w:rPr>
                <w:rFonts w:ascii="仿宋_GB2312" w:hAnsi="仿宋_GB2312" w:cs="仿宋_GB2312" w:eastAsia="仿宋_GB2312"/>
                <w:sz w:val="24"/>
                <w:b/>
              </w:rPr>
              <w:t>/进口</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采购数量</w:t>
            </w:r>
          </w:p>
        </w:tc>
        <w:tc>
          <w:tcPr>
            <w:tcW w:type="dxa" w:w="126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分项预算（万元）</w:t>
            </w:r>
          </w:p>
        </w:tc>
        <w:tc>
          <w:tcPr>
            <w:tcW w:type="dxa" w:w="112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分项限价（万元）</w:t>
            </w:r>
          </w:p>
        </w:tc>
        <w:tc>
          <w:tcPr>
            <w:tcW w:type="dxa" w:w="112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rPr>
              <w:t>备注</w:t>
            </w:r>
          </w:p>
        </w:tc>
      </w:tr>
      <w:tr>
        <w:tc>
          <w:tcPr>
            <w:tcW w:type="dxa" w:w="6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p>
        </w:tc>
        <w:tc>
          <w:tcPr>
            <w:tcW w:type="dxa" w:w="262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眼科手术床</w:t>
            </w:r>
          </w:p>
        </w:tc>
        <w:tc>
          <w:tcPr>
            <w:tcW w:type="dxa" w:w="809"/>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国产</w:t>
            </w:r>
          </w:p>
          <w:p>
            <w:pPr>
              <w:pStyle w:val="null3"/>
              <w:jc w:val="center"/>
            </w:p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8</w:t>
            </w:r>
            <w:r>
              <w:rPr>
                <w:rFonts w:ascii="仿宋_GB2312" w:hAnsi="仿宋_GB2312" w:cs="仿宋_GB2312" w:eastAsia="仿宋_GB2312"/>
                <w:sz w:val="24"/>
              </w:rPr>
              <w:t>套</w:t>
            </w:r>
          </w:p>
        </w:tc>
        <w:tc>
          <w:tcPr>
            <w:tcW w:type="dxa" w:w="12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40</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36.4</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p>
        </w:tc>
        <w:tc>
          <w:tcPr>
            <w:tcW w:type="dxa" w:w="262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电动手术台</w:t>
            </w:r>
          </w:p>
        </w:tc>
        <w:tc>
          <w:tcPr>
            <w:tcW w:type="dxa" w:w="809"/>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2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15</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4.55</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3</w:t>
            </w:r>
          </w:p>
        </w:tc>
        <w:tc>
          <w:tcPr>
            <w:tcW w:type="dxa" w:w="262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综合手术床</w:t>
            </w:r>
          </w:p>
        </w:tc>
        <w:tc>
          <w:tcPr>
            <w:tcW w:type="dxa" w:w="809"/>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套</w:t>
            </w:r>
          </w:p>
        </w:tc>
        <w:tc>
          <w:tcPr>
            <w:tcW w:type="dxa" w:w="12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50</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48</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核心产品</w:t>
            </w:r>
          </w:p>
        </w:tc>
      </w:tr>
      <w:tr>
        <w:tc>
          <w:tcPr>
            <w:tcW w:type="dxa" w:w="6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4</w:t>
            </w:r>
          </w:p>
        </w:tc>
        <w:tc>
          <w:tcPr>
            <w:tcW w:type="dxa" w:w="262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外科手术床</w:t>
            </w:r>
          </w:p>
        </w:tc>
        <w:tc>
          <w:tcPr>
            <w:tcW w:type="dxa" w:w="809"/>
            <w:vMerge/>
            <w:tcBorders>
              <w:top w:val="none" w:color="000000" w:sz="4"/>
              <w:left w:val="none" w:color="000000" w:sz="4"/>
              <w:bottom w:val="single" w:color="000000" w:sz="4"/>
              <w:right w:val="single" w:color="000000" w:sz="4"/>
            </w:tcBorders>
          </w:tcP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126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10</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9</w:t>
            </w:r>
          </w:p>
        </w:tc>
        <w:tc>
          <w:tcPr>
            <w:tcW w:type="dxa" w:w="112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供应商在投标报价时单项设备报价不得超过分项限价，整体项目总报价不得超过项目最高限价。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手术床类设备采购项目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标的名称：手术床类设备采购项目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一、品目1眼科手术床及品目2电动手术台：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1、由支撑部分、传动部分和控制部分组成。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2、用于眼科患者手术中身体支撑。</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3、手术床整体采用304不锈钢材质。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4、手术床由头板、背板、壁板、腿板组成。</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5、具有电动平移功能。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6、台面全长参考范围：2050±50mm。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7、台面宽度参考范围：550±20mm。</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8、手术床最低台面≤600mm。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9、手术床最高台面≥700mm。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10、台面平移行程≥300mm。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11、台面升降行程≥200mm。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12、背板上折角度≥70°。</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13、头板上折角度≥45°或头板升降行程≥150mm。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14、手术台承重≥200kg。</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15、具有机械脚踏刹车的功能。</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16、采用电动推杆驱动。</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17、头板前部两侧配备托手架。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18、配备高分子凝胶材质碗型头圈。</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19、海绵床垫厚度≥60mm。</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20、具备蓄电池（提供相关证明材料）。</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（二）单台配置要求:</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手术床（含海绵垫、脚踏开关等）1套、搁臂架2个、托手架2个、器械盘1个、器械架1套、手术椅1台、头圈1个</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二、品目3：综合手术床</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1、用于对术中患者身体的支撑。</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2、分为头板、背板、臀板、分体式腿板组成。</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3、手术床整体（含附件）采用304不锈钢或镍铭合金材质</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4、手术床长度宽度参考范围：长2080±20mm，宽520±20mm</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5、采用电动液压工作方式</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6、具备电动腰桥的功能，腰桥行程≥100mm</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7、配备液晶遥控器及立柱应急控制面板；遥控器可显示手术体位及角度等相关信息。</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8、可用于X光透视手术。</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9、具有头腿板可拆、互换的功能。</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10、记忆海绵床垫，厚度为≥75mm</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11、台面前倾/后倾角度≥35°。</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12、台面左倾/右倾角度≥25°</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13、背板活动角度：上折≥80° ；下折≥40°。</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14、腿板活动角度：上折≥20° ；下折≥90°；外展≥90°。</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15、脚轮采用万向轮。</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16、具有电动平移功能，台面平移距离≥350mm ，可配C型臂使用。</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17、台面最低≤600mm。</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18、台面升降行程≥450mm。</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19、具有一键复位、一键屈曲反屈功能、反向体位健功能。</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20、手术床安装关节处均具有一键快插式的功能。</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21、承重≥350kg。</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22、具有快锁式夹持器。</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23、采用油路透析工艺。</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24、配有充电电池（提供相关证明材料）。</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25、台面、立柱、液压系统、电动系统为同一生产组装企业。</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26、具有电动液压刹车、遥控器一键刹车的功能。</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27、设计使用年限≥10年。</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28、配备高分子凝胶体位垫一套（含俯卧位、截石位、侧卧位所需体位垫）。</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（二）单台配置要求:</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综合手术床（含床垫、头板、背板、分体式腿板）1套、托手架一对、麻醉屏架一个、肩架一对、截石位托腿架一对、体位垫一套（按实际要求）、上肢约束带2个、下肢约束带2个</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三、品目4：外科手术床</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1、用于急诊科、医美等手术患者的承载。</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2、由头板、背板、臀板和分体式腿板组成。</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3、采用电动液压驱动机制控制床面升降、前后倾、左右倾等功能。</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4、驱动系统：≥5个液压缸。</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5、配备充电电池（提供相关证明材料）。</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5、头板、腿板可拆卸，满足X光透视手术的需要。</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6、手术床长、宽参考范围：长度2050±50mm、宽度500±50 mm。</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7、最低床面≤700mm。</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8、床面升降行程≥320mm。</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9、台面前后倾角度范围≥±25°。</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10、台面左右倾角度范围≥±20°。</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11、背板转折角度：向上≥80°，向下≥40°。</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12、腿板折转角度：向上≥20° 向下≥90°，外折角度≥90°。</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13、头板折转角度：向上≥45° 向下≥90°。</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14、手术床具有平移功能，平移距离≥300mm。</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15、采用油路透析工艺。</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16、手术承重≥180kg。</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17、记忆海绵床垫，厚度≥80mm。</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18、配备有限遥控器可进行手术体位定位。</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19、手术床及附件采用304医用不锈钢。</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20、配备体位垫一套（含俯卧位、截石位所需体位垫）</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（二）配置要求:</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外科手术床（含床体、床垫、头板、分体式腿板、有限遥控器等）1套、搁臂架1对、麻醉屏架1个、体位垫一套（按实际要求）。</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三、接口及数据要求</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1. 免费系统升级，无条件与我院现有HIS、LIS、PACS、病理系统等信息系统对接，并承担所接系统软件工作站、接口、点位、配件及由此产生的所有费用（包含但不限于采集盒、手控、脚踏板、转接配件、无线网卡、高清采集卡及各种连线等），涉及图像传输的须无条件开放相关端口（不限于DICOM端口）。</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3.工作站为windows系列中文操作系统，保证工作站在连接设备后仍有可用网口。</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5.所采设备应根据各设备输出口，确定相关数据信息，如：手柄和脚踏板需 USB口。</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四、服务要求</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中标商需按照设备安装场地现场情况，完成场地准备，达到设备正常安装使用要求（包括旧手术床的拆除以及新购置手术床的安装），提供满足康复诊疗需求并符合国家对消毒、控感、卫生的要求所，其中所产生的所有人工、材料、运输、安装施工、配套设备、设备性能检测等费用均由中标方承担。</w:t>
            </w:r>
          </w:p>
        </w:tc>
      </w:tr>
      <w:tr>
        <w:tc>
          <w:tcPr>
            <w:tcW w:type="dxa" w:w="2769"/>
          </w:tcPr>
          <w:p>
            <w:pPr>
              <w:pStyle w:val="null3"/>
            </w:pPr>
            <w:r>
              <w:rPr>
                <w:rFonts w:ascii="仿宋_GB2312" w:hAnsi="仿宋_GB2312" w:cs="仿宋_GB2312" w:eastAsia="仿宋_GB2312"/>
              </w:rPr>
              <w:t>90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保修期为叁年（从验收合格之日起开始计算）,根据《医疗器械监督管理条例》要求，保修期截止至设备报废，提供设备维护、软件升级的技术支持和指导，配合医院完成设备维修、保养相关工作。保修期内，同一主要部件出现质量问题经过两次维修后仍无法正常使用，可以更换同型号、同规格的全新产品，服务响应时间不超过2小时，对问题较大短期内暂不能解决的，为不影响甲方正常工作，乙方在2日内提供替代产品，确保正常运行，由此产生的费用由乙方承担。</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92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提供生产厂家出具的≥3年的质保声明或质保承诺书。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合同签订后自甲方通知90日内完成全部项目内容，并交付采购人验收合格。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所有货物到达甲方指定地点，安装、调试完毕、提供国家或行业标准的合格验收证明以及出具所有设备生产厂家提供的叁年质量保证书等，乙方完成自检合格后，提交甲方进行第一次验收，甲方自第一次验收合格且收到发票之日，达到付款条件起10日内，支付验收合格产品对应金额总价95%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货物第一次验收合格满36个月后，进行二次验收，验收合格后达到付款条件起10日内，支付合同总金额的5%。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其他条款：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乙方保证货物后期可与甲方各类信息化网络系统双向接口免费对接，即供应商应负责与甲方及甲方信息化网络系统供应商的接口均完成对接，过程中所产生的费用由乙方承担。2.履约验收时间：供应商提出验收申请之日起七日内组织验收。3.技术履约验收内容：1、定期派技术人员到现场走访，给予检查维护，一年不少于2次。2、供应商应终身免费提供维护手册、维修手册、软件备份、故障代码表、备件清单、零部件、维修密码等维护维修必须的材料和信息。4.商务履约验收内容：1、按照合同约定时间，按院方指定地点提供货物，配合验收工作，并负责安装、调试、提供现场技术培训，保证使用人员正常操作设备的各种功能。2、由供应商负责，运杂费已包含在合同总价内，包括从货物供应地点所含的运输费、装卸费、仓储费、保险费等。5.履约验收标准：1、按照合同约定时间，按院方指定地点提供货物，配合验收工作，并负责安装、调试、提供现场技术培训，保证使用人员正常操作设备的各种功能。2、由供应商负责，运杂费已包含在合同总价内，包括从货物供应地点所含的运输费、装卸费、仓储费、保险费等。3、定期派技术人员到现场走访，给予检查维护，一年不少于2次。4、供应商应终身免费提供维护手册、维修手册、软件备份、故障代码表、备件清单、零部件、维修密码等维护维修必须的材料和信息。6.付款方式：（针对中小企业）合同签订后，乙方开具符合甲方要求的相应金额发票，甲方支付40%的预付款，所有货物到达甲方指定地点，安装、调试完毕、提供国家或行业标准的合格验收证明以及出具所有设备生产厂家提供的叁年质量保证书等，乙方完成自检合格后，提交甲方进行第一次验收，甲方自第一次验收合格且收到发票之日，达到付款条件起10日内，支付验收合格产品对应金额总价95%。货物第一次验收合格满36个月后，进行二次验收，验收合格后达到付款条件起10日内，支付合同总金额的5%。7.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8.根据西安市财政局《关于促进政府采购公平竞争优化营商环境的通知》（市财函[2021]431号）文中“第16条规定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提供经审计的2023年度或2024年度财务报告（包括四表一注，即资产负债表、利润表、现金流量表、所有者权益变动表及其附注）；事业法人提供部门决算报告； /或在开标日期前六个月内其开户银行出具的资信证明； /或财政部门认可的政府采购专业担保机构出具的投标担保函； /或表明具有良好的商业信誉和健全的财务会计制度的诚信声明； 以上四种形式的资料提供任何一种即可。 （三）具有履行合同所必需的设备和专业技术能力。 提供声明文件（格式可参考“诚信声明”）。 （四）具有依法缴纳税收的良好记录。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提供声明文件</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法定代表人或被授权人参加</w:t>
            </w:r>
          </w:p>
        </w:tc>
        <w:tc>
          <w:tcPr>
            <w:tcW w:type="dxa" w:w="3322"/>
          </w:tcPr>
          <w:p>
            <w:pPr>
              <w:pStyle w:val="null3"/>
            </w:pPr>
            <w:r>
              <w:rPr>
                <w:rFonts w:ascii="仿宋_GB2312" w:hAnsi="仿宋_GB2312" w:cs="仿宋_GB2312" w:eastAsia="仿宋_GB2312"/>
              </w:rPr>
              <w:t>被授权代表参与的提供法定代表人授权书；法定代表人直接参与的提供法定代表人身份证明。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医疗器械经营许可证或备案证</w:t>
            </w:r>
          </w:p>
        </w:tc>
        <w:tc>
          <w:tcPr>
            <w:tcW w:type="dxa" w:w="3322"/>
          </w:tcPr>
          <w:p>
            <w:pPr>
              <w:pStyle w:val="null3"/>
            </w:pPr>
            <w:r>
              <w:rPr>
                <w:rFonts w:ascii="仿宋_GB2312" w:hAnsi="仿宋_GB2312" w:cs="仿宋_GB2312" w:eastAsia="仿宋_GB2312"/>
              </w:rPr>
              <w:t>医疗器械经营许可证或备案证：提供相关证明材料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属于医疗器械管理范围的产品需提供医疗器械注册证或备案凭证，不属于医疗器械管理范畴的产品提供相关证明材料</w:t>
            </w:r>
          </w:p>
        </w:tc>
        <w:tc>
          <w:tcPr>
            <w:tcW w:type="dxa" w:w="3322"/>
          </w:tcPr>
          <w:p>
            <w:pPr>
              <w:pStyle w:val="null3"/>
            </w:pPr>
            <w:r>
              <w:rPr>
                <w:rFonts w:ascii="仿宋_GB2312" w:hAnsi="仿宋_GB2312" w:cs="仿宋_GB2312" w:eastAsia="仿宋_GB2312"/>
              </w:rPr>
              <w:t>属于医疗器械管理范围的产品需提供医疗器械注册证或备案凭证，不属于医疗器械管理范畴的产品提供相关证明材料：提供相关证明材料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本项目不接受联合体投标：提供声明文件</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1.投标文件是否按照招标文件要求的格式编写； 2.投标文件内容是否有重大缺漏项。</w:t>
            </w:r>
          </w:p>
        </w:tc>
        <w:tc>
          <w:tcPr>
            <w:tcW w:type="dxa" w:w="1661"/>
          </w:tcPr>
          <w:p>
            <w:pPr>
              <w:pStyle w:val="null3"/>
            </w:pPr>
            <w:r>
              <w:rPr>
                <w:rFonts w:ascii="仿宋_GB2312" w:hAnsi="仿宋_GB2312" w:cs="仿宋_GB2312" w:eastAsia="仿宋_GB2312"/>
              </w:rPr>
              <w:t>货物说明一览表 开标一览表 投标函 资格证明材料 技术规格响应表 标的清单 投标文件封面 耗材报价表 商务条款及合同条款偏离表 报价方案说明书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货物说明一览表 投标函 资格证明材料 技术规格响应表 标的清单 耗材报价表 投标文件封面 商务条款及合同条款偏离表 报价方案说明书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1.投标报价是否超过最高限价； 2.投标报价有效期是否符合招标文件的要求； 3.投标文件内容是否符合国家法律法规，没有重大偏离； 4.对招标文件中规定的要求是否做出了实质性响应。</w:t>
            </w:r>
          </w:p>
        </w:tc>
        <w:tc>
          <w:tcPr>
            <w:tcW w:type="dxa" w:w="1661"/>
          </w:tcPr>
          <w:p>
            <w:pPr>
              <w:pStyle w:val="null3"/>
            </w:pPr>
            <w:r>
              <w:rPr>
                <w:rFonts w:ascii="仿宋_GB2312" w:hAnsi="仿宋_GB2312" w:cs="仿宋_GB2312" w:eastAsia="仿宋_GB2312"/>
              </w:rPr>
              <w:t>开标一览表 货物说明一览表 投标函 资格证明材料 技术规格响应表 标的清单 投标文件封面 耗材报价表 商务条款及合同条款偏离表 报价方案说明书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投标文件是否响应“承诺书”</w:t>
            </w:r>
          </w:p>
        </w:tc>
        <w:tc>
          <w:tcPr>
            <w:tcW w:type="dxa" w:w="3322"/>
          </w:tcPr>
          <w:p>
            <w:pPr>
              <w:pStyle w:val="null3"/>
            </w:pPr>
            <w:r>
              <w:rPr>
                <w:rFonts w:ascii="仿宋_GB2312" w:hAnsi="仿宋_GB2312" w:cs="仿宋_GB2312" w:eastAsia="仿宋_GB2312"/>
              </w:rPr>
              <w:t>投标文件响应“承诺书”</w:t>
            </w:r>
          </w:p>
        </w:tc>
        <w:tc>
          <w:tcPr>
            <w:tcW w:type="dxa" w:w="1661"/>
          </w:tcPr>
          <w:p>
            <w:pPr>
              <w:pStyle w:val="null3"/>
            </w:pPr>
            <w:r>
              <w:rPr>
                <w:rFonts w:ascii="仿宋_GB2312" w:hAnsi="仿宋_GB2312" w:cs="仿宋_GB2312" w:eastAsia="仿宋_GB2312"/>
              </w:rPr>
              <w:t>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1.技术指标及产品功能全部满足招标文件要求,赋20分； 2.技术要求中的技术指标及产品功能，任何一项低于招标要求或不具备，扣1分，不计负分。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根据所投产品品牌与配置清单，从设备先进性、配置完整性、性能稳定性、与医院现有系统的兼容性、产品使用广泛性等方面进行综合评定，按照优劣程度在0-8分范围内打分。设备选型合理、性能优良、使用广泛得（6-8]分，设备选型较合理、性能良好、使用普遍得(3-6]分，设备选型一般、性能一般、使用少得(0-3]分，未提供得0分。 供应商应尽可能多的提供证明材料，包括但不限于所投设备产品优势、市场销售情况等予以证明。</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供货计划方案</w:t>
            </w:r>
          </w:p>
        </w:tc>
        <w:tc>
          <w:tcPr>
            <w:tcW w:type="dxa" w:w="2492"/>
          </w:tcPr>
          <w:p>
            <w:pPr>
              <w:pStyle w:val="null3"/>
            </w:pPr>
            <w:r>
              <w:rPr>
                <w:rFonts w:ascii="仿宋_GB2312" w:hAnsi="仿宋_GB2312" w:cs="仿宋_GB2312" w:eastAsia="仿宋_GB2312"/>
              </w:rPr>
              <w:t>根据投标人提供供货计划方案，从供货产品信息、生产能力、运输方式、产品质量保证等进行综合评定：供货计划方案流程清晰、有序各环节内容明确，符合本项目要求得 (4-6]分；供货计划方案内容简单、流程混乱，各环节安排不恰当得 (2-4] 分；供货计划方案内容有缺项漏项，且提供的内容偏离项目需求得 (0-2]分；未提供不得分。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售后服务的便利性和售后服务人员配置及服务水平: 1.售后服务便利性高、服务人员配置齐全，能够保证服务的及时性、便利性和解决问题的高效性，预期售后服务效果好，赋(4-5]分。 2.售后服务便利性、服务人员配置及服务水平一般。基本能满足售后服务的及时性和便利性，能解决一定的售后问题，预期售后服务效果较好，赋(2-4]分。 3.售后服务便利性、服务人员配置较差，服务水平低，较难保证服务的及时性和便利性，预期售后服务效果较差,赋( 0-2]分。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根据投标人提供的安装、调试方案，从安装调试准备、调试流程等进行综合评定：安装、调试方案流程清晰、有序各环节内容明确，符合本项目要求得 (4-7]分；安装、调试方案内容简单、流程混乱，各环节安排不恰当得(2-4] 分；安装、调试方案内容有缺项漏项，且提供的内容偏离项目需求得 (0-2] 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根据投标人提供的质量保证措施，从质量管理体系、质量目标、质量控制流程、风险管理等进行综合评定： 质量保障措施方案内容明确、合理，符合本项目要求得 (4-7]分； 质量保障措施方案内容简单粗略，基本满足项目要求得 (2-4] 分； 质量保障措施方案内容有缺项漏项，偏离项目需求得(0-2] 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技术证明 材料</w:t>
            </w:r>
          </w:p>
        </w:tc>
        <w:tc>
          <w:tcPr>
            <w:tcW w:type="dxa" w:w="2492"/>
          </w:tcPr>
          <w:p>
            <w:pPr>
              <w:pStyle w:val="null3"/>
            </w:pPr>
            <w:r>
              <w:rPr>
                <w:rFonts w:ascii="仿宋_GB2312" w:hAnsi="仿宋_GB2312" w:cs="仿宋_GB2312" w:eastAsia="仿宋_GB2312"/>
              </w:rPr>
              <w:t>提供投标产品彩色样本、技术白皮书、使用说明书、国家权威部门出具的检测报告，根据提供资料的完整性，得0-5分。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1.具有完善的技术培训措施，保证使用单位能熟练操作、维护, 赋(1-2]分； 2.技术培训措施可行，保证使用单位正常使用 赋(0-1]分； 3.技术培训措施简单可行性较差，难以保证使用单位正常常使用,不得分。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提供2022年5月至今所投标产品在中华人民共和国境内销售业绩（业绩清单及完整合同复印件，以合同复印件为准）： 1.核心产品每提供一份得1分，最高不超过3分； 2.非核心产品每提供一份得0.2分，最多不超过2分。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商务条款满足招标文件要求得5分，否则不得分。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商务条款及合同条款偏离表</w:t>
            </w:r>
          </w:p>
          <w:p>
            <w:pPr>
              <w:pStyle w:val="null3"/>
            </w:pPr>
            <w:r>
              <w:rPr>
                <w:rFonts w:ascii="仿宋_GB2312" w:hAnsi="仿宋_GB2312" w:cs="仿宋_GB2312" w:eastAsia="仿宋_GB2312"/>
              </w:rPr>
              <w:t>报价方案说明书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1.最低有效报价为评标基准价，得30分。 2.按（评标基准价/有效投标报价×30）的公式计算价格得分。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详见附件：商务条款及合同条款偏离表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详见附件：耗材报价表</w:t>
      </w:r>
    </w:p>
    <w:p>
      <w:pPr>
        <w:pStyle w:val="null3"/>
        <w:ind w:firstLine="960"/>
      </w:pPr>
      <w:r>
        <w:rPr>
          <w:rFonts w:ascii="仿宋_GB2312" w:hAnsi="仿宋_GB2312" w:cs="仿宋_GB2312" w:eastAsia="仿宋_GB2312"/>
        </w:rPr>
        <w:t>详见附件：报价方案说明书</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