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版本号：XAJG（ZFCG）-2025041820250520001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档案数字化服务项目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XAJG（ZFCG）-20250418</w:t>
      </w:r>
      <w:r>
        <w:br/>
      </w:r>
      <w:r>
        <w:br/>
      </w:r>
      <w:r>
        <w:br/>
      </w:r>
    </w:p>
    <w:p>
      <w:pPr>
        <w:pStyle w:val="null3"/>
        <w:jc w:val="center"/>
        <w:outlineLvl w:val="2"/>
      </w:pPr>
      <w:r>
        <w:rPr>
          <w:rFonts w:ascii="仿宋_GB2312" w:hAnsi="仿宋_GB2312" w:cs="仿宋_GB2312" w:eastAsia="仿宋_GB2312"/>
          <w:sz w:val="28"/>
          <w:b/>
        </w:rPr>
        <w:t>西安市长安区人民法院[160]</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西安市长安区人民法院[160]</w:t>
      </w:r>
      <w:r>
        <w:rPr>
          <w:rFonts w:ascii="仿宋_GB2312" w:hAnsi="仿宋_GB2312" w:cs="仿宋_GB2312" w:eastAsia="仿宋_GB2312"/>
        </w:rPr>
        <w:t>委托，拟对</w:t>
      </w:r>
      <w:r>
        <w:rPr>
          <w:rFonts w:ascii="仿宋_GB2312" w:hAnsi="仿宋_GB2312" w:cs="仿宋_GB2312" w:eastAsia="仿宋_GB2312"/>
        </w:rPr>
        <w:t>档案数字化服务项目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XAJG（ZFCG）-20250418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档案数字化服务项目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最高人民法院出台的《关于全面推进人民法院电子卷宗随案同步生成和深度应用的指导意见》精神，着力推进电子卷宗随案同步生成，全面开发和支持电子卷宗在案件办理、诉讼服务和司法管理中的深度应用，是打造智慧法院的重要支撑。总体质量按照《陕西省高级人民法院关于全省法院历史卷宗数字化技术要求的通知》及最高法院有关规定等要求，对长安区人民法院随案生成的即时案件进行数字化扫描服务，并保证档案扫描图像与原件一致、整洁、清晰。本项目所属行业为软件和信息技术服务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采购包1（西安市长安区人民法院档案数字化服务项目）：属于专门面向中小企业采购。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2、授权书：法定代表人（主要负责人）委托代理人参加磋商时，应提供法定代表人（主要负责人）委托授权书；法定代表人（主要负责人）亲自参加投标时，应提供法定代表人（主要负责人）身份证明书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p>
      <w:pPr>
        <w:pStyle w:val="null3"/>
      </w:pPr>
      <w:r>
        <w:rPr>
          <w:rFonts w:ascii="仿宋_GB2312" w:hAnsi="仿宋_GB2312" w:cs="仿宋_GB2312" w:eastAsia="仿宋_GB2312"/>
        </w:rPr>
        <w:t>8、无重大违法说明：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保密资质证明：投标人须具备省级及以上国家保密局颁发的《国家秘密载体印制资质》乙级或以上资质（资质类别为“涉密档案数字化加工”），其中省外乙级资质投标人应当向陕西省保密行政管理部门备案，提供备案证明（甲级资质无需提供）</w:t>
      </w:r>
    </w:p>
    <w:p>
      <w:pPr>
        <w:pStyle w:val="null3"/>
      </w:pPr>
      <w:r>
        <w:rPr>
          <w:rFonts w:ascii="仿宋_GB2312" w:hAnsi="仿宋_GB2312" w:cs="仿宋_GB2312" w:eastAsia="仿宋_GB2312"/>
        </w:rPr>
        <w:t>10、联合体承诺书：本项目不接受联合体磋商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西安市长安区人民法院[160]</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西安市长安区西长安街141号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029-84165132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采购预算为基础，依据《国家计委关于印发招标代理服务收费管理暂行办法的通知》（计价格〔2002〕1980号）和国家发改委办公厅颁发的《关于招标代理服务收费有关问题的通知》（发改办价格〔2003〕857号）文件，以及《国家发展改革委关于进一步放开建设项目专业服务价格的通知》（发改价格〔2015〕299号）规定标准计算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西安市长安区人民法院[160]</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西安市长安区人民法院[160]</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西安市长安区人民法院[160]</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最高人民法院出台的《关于全面推进人民法院电子卷宗随案同步生成和深度应用的指导意见》精神，着力推进电子卷宗随案同步生成，全面开发和支持电子卷宗在案件办理、诉讼服务和司法管理中的深度应用，是打造智慧法院的重要支撑。总体质量按照《陕西省高级人民法院关于全省法院历史卷宗数字化技术要求的通知》及最高法院有关规定等要求，对长安区人民法院随案生成的即时案件进行数字化扫描服务，并保证档案扫描图像与原件一致、整洁、清晰。本项目所属行业为软件和信息技术服务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1,390,000.00</w:t>
      </w:r>
    </w:p>
    <w:p>
      <w:pPr>
        <w:pStyle w:val="null3"/>
      </w:pPr>
      <w:r>
        <w:rPr>
          <w:rFonts w:ascii="仿宋_GB2312" w:hAnsi="仿宋_GB2312" w:cs="仿宋_GB2312" w:eastAsia="仿宋_GB2312"/>
        </w:rPr>
        <w:t>采购包最高限价（元）: 1,390,000.00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标的名称：档案数字化服务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二、服务内容与要求</w:t>
            </w:r>
          </w:p>
          <w:p>
            <w:pPr>
              <w:pStyle w:val="null3"/>
            </w:pPr>
            <w:r>
              <w:rPr>
                <w:rFonts w:ascii="仿宋_GB2312" w:hAnsi="仿宋_GB2312" w:cs="仿宋_GB2312" w:eastAsia="仿宋_GB2312"/>
                <w:sz w:val="24"/>
                <w:color w:val="000000"/>
              </w:rPr>
              <w:t>1、技术标准</w:t>
            </w:r>
          </w:p>
          <w:p>
            <w:pPr>
              <w:pStyle w:val="null3"/>
            </w:pPr>
            <w:r>
              <w:rPr>
                <w:rFonts w:ascii="仿宋_GB2312" w:hAnsi="仿宋_GB2312" w:cs="仿宋_GB2312" w:eastAsia="仿宋_GB2312"/>
                <w:sz w:val="24"/>
                <w:color w:val="000000"/>
              </w:rPr>
              <w:t>1.1 带有★号的条款为实质性条款不得有偏离 。</w:t>
            </w:r>
          </w:p>
          <w:p>
            <w:pPr>
              <w:pStyle w:val="null3"/>
            </w:pPr>
            <w:r>
              <w:rPr>
                <w:rFonts w:ascii="仿宋_GB2312" w:hAnsi="仿宋_GB2312" w:cs="仿宋_GB2312" w:eastAsia="仿宋_GB2312"/>
                <w:sz w:val="24"/>
                <w:color w:val="000000"/>
              </w:rPr>
              <w:t>1.2 服务方案要求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1）DA/T31-2017 中华人民共和国档案行业标准《纸质档案数字化技术规范》；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2）DA/T18-2022《档案著录规则》；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3）GB/T18894-2016《电子文档归档与管理规范》；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4）《中华人民共和国档案法》；</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5）GB/T7156-2016《文献保密等级代码》；</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6）最高人民法院《人民法院纸质档案数字化处理规范》2007；</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7）陕西省高级人民法院《关于全省法院卷宗数字化技术要求的通知》陕高法〔2017〕205 号文件；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8）《最高人民法院关于全面推进人民法院电子卷宗随案同步生成和深度应用的指导意见》；</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9）《最高人民法院关于进一步加快推进电子卷宗随案同步生成和深度应用工作的通知》 ；</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10）《电子卷宗随案同步生成与管理应用技术要求》；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11）《电子卷宗阅卷目录规范》；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12）《电子档案管理应用技术要求》；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13）《基于电子卷宗的审判支持应用技术要求》；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14）《法院电子卷宗数据汇聚技术规范》；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15）长安区人民法院的档案信息化管理系统及其他相关行业标准的要求。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16）解决法官对大量纸质卷宗在结案前的有序、统一管理和安全储存等问题。通过数字化技术与法院诉讼档案随案同步业务进行完美融合，实现审判全流程准无纸化办案。</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17）在立案、庭前、庭后、结案等阶段将产生案卷材料，对收取的纸质材料进行扫描、分类校验、加工、生成电子卷宗、挂接至交大慧谷系统、对收取的诉讼材料进行整理和保管、将诉讼材料整理为诉讼卷宗并进行归档等全部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18）数据存储格式。全部采用彩色单页 jpg 的存储格式，纸质档案扫描分辨率要 300dpi 以上， 所有照片档案为彩色 600dpi。对于案卷中出现字迹较小、模糊、较密集等情况，应适当提高分辨率， 形成成品为24bit真彩的 JPEG 压缩格式的电子图片文件。扫描图像存储以案号命名根文件夹，正副卷结合的形式进行存储备份。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19）扫描图像质量的要求。图像质量情况完好率100%。图像清晰、完整，反映档案全貌；页面底色、字迹、印章颜色与档案本身颜色相仿，色泽均匀；图像效果必须符合正常的阅读习惯。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20）图像目录对应的信息正确率100%。图像齐全，包括卷面、目录、正文、备考表等信息。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数据上传质量检查。采用人工校对或自动校对的方式，对系统目录数据库的建库质量进行检查，核对上传项目是否完整，内容是否规范、准确，是否有漏传、错传等问题，对错传、漏传的数据进行修正、补录。</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22）投标人应结合长安区法院的档案管理制度制定一套符合完成本项目工作实际的档案整理、 电子化等的管理规定及操作流程，以确保档案装订规范、电子化质量达到品质要求、档案卷宗系统验卷、归档，确保档案材料的安全和项目任务的完成。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23）投标人需派驻稳定团队，到长安区法院指定工作场所扫描案卷，服务期间须保持人员数量的稳定。</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24）档案随案生成环节细分包括：档案接收、档案扫描、图像上传至交大慧谷办案系统、校对归目、归档验卷、档案装订、档案移交等。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25）投标人应保证扫描的案卷在装卸、运输和仓储过程中有足够的包装保护，防止纸质案卷 受潮、破损、着火及其他不可预见的损坏。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26）纸质案卷到达采购人指定的整理地点后，投标投标人应按有关技术规程和采购人要求进行存放、保管和整理。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27）人员要求</w:t>
            </w:r>
          </w:p>
          <w:p>
            <w:pPr>
              <w:pStyle w:val="null3"/>
            </w:pPr>
            <w:r>
              <w:rPr>
                <w:rFonts w:ascii="仿宋_GB2312" w:hAnsi="仿宋_GB2312" w:cs="仿宋_GB2312" w:eastAsia="仿宋_GB2312"/>
                <w:sz w:val="24"/>
                <w:color w:val="000000"/>
              </w:rPr>
              <w:t>档案数字化项目组人员充足，不少于</w:t>
            </w:r>
            <w:r>
              <w:rPr>
                <w:rFonts w:ascii="仿宋_GB2312" w:hAnsi="仿宋_GB2312" w:cs="仿宋_GB2312" w:eastAsia="仿宋_GB2312"/>
                <w:sz w:val="24"/>
                <w:color w:val="000000"/>
              </w:rPr>
              <w:t>14人，配置完善合理。</w:t>
            </w:r>
          </w:p>
          <w:p>
            <w:pPr>
              <w:pStyle w:val="null3"/>
            </w:pPr>
            <w:r>
              <w:rPr>
                <w:rFonts w:ascii="仿宋_GB2312" w:hAnsi="仿宋_GB2312" w:cs="仿宋_GB2312" w:eastAsia="仿宋_GB2312"/>
                <w:sz w:val="24"/>
                <w:color w:val="000000"/>
              </w:rPr>
              <w:t>1.3 质量要求</w:t>
            </w:r>
          </w:p>
          <w:p>
            <w:pPr>
              <w:pStyle w:val="null3"/>
            </w:pPr>
            <w:r>
              <w:rPr>
                <w:rFonts w:ascii="仿宋_GB2312" w:hAnsi="仿宋_GB2312" w:cs="仿宋_GB2312" w:eastAsia="仿宋_GB2312"/>
                <w:sz w:val="24"/>
                <w:color w:val="000000"/>
              </w:rPr>
              <w:t>1.3.1 服务、产品（如有）执行的标准、规范：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1）国家标准、规范     /    ；</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2）行业标准、规范     /    ；</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3）地方标准、规范     /    ；</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4）团体标准、规范     /    ；</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5）企业标准、规范     /    。</w:t>
            </w:r>
          </w:p>
          <w:p>
            <w:pPr>
              <w:pStyle w:val="null3"/>
            </w:pPr>
            <w:r>
              <w:rPr>
                <w:rFonts w:ascii="仿宋_GB2312" w:hAnsi="仿宋_GB2312" w:cs="仿宋_GB2312" w:eastAsia="仿宋_GB2312"/>
                <w:sz w:val="24"/>
                <w:color w:val="000000"/>
              </w:rPr>
              <w:t>1.3.2 本章1.3.1条款未明确服务（产品）执行标准、规范的，按下列方法进行选择：</w:t>
            </w:r>
          </w:p>
          <w:p>
            <w:pPr>
              <w:pStyle w:val="null3"/>
            </w:pPr>
            <w:r>
              <w:rPr>
                <w:rFonts w:ascii="仿宋_GB2312" w:hAnsi="仿宋_GB2312" w:cs="仿宋_GB2312" w:eastAsia="仿宋_GB2312"/>
                <w:sz w:val="24"/>
                <w:color w:val="000000"/>
              </w:rPr>
              <w:t>□ 顺序执行：国家标准→行业标准→地方标准→团体标准→企业标准（有国家标准按国家标准执行，没有国家标准按行业标准，以此类推）；</w:t>
            </w:r>
          </w:p>
          <w:p>
            <w:pPr>
              <w:pStyle w:val="null3"/>
            </w:pPr>
            <w:r>
              <w:rPr>
                <w:rFonts w:ascii="仿宋_GB2312" w:hAnsi="仿宋_GB2312" w:cs="仿宋_GB2312" w:eastAsia="仿宋_GB2312"/>
                <w:sz w:val="24"/>
                <w:color w:val="000000"/>
              </w:rPr>
              <w:t>□ 最高标准执行：国家标准，行业标准，地方标准，团体标准，企业标准（那个标准高执行那个标准）</w:t>
            </w:r>
          </w:p>
          <w:p>
            <w:pPr>
              <w:pStyle w:val="null3"/>
            </w:pPr>
            <w:r>
              <w:rPr>
                <w:rFonts w:ascii="仿宋_GB2312" w:hAnsi="仿宋_GB2312" w:cs="仿宋_GB2312" w:eastAsia="仿宋_GB2312"/>
                <w:sz w:val="24"/>
                <w:color w:val="000000"/>
              </w:rPr>
              <w:t>☑ 必须执行：国家（行业）强制性标准。</w:t>
            </w:r>
          </w:p>
          <w:p>
            <w:pPr>
              <w:pStyle w:val="null3"/>
            </w:pPr>
            <w:r>
              <w:rPr>
                <w:rFonts w:ascii="仿宋_GB2312" w:hAnsi="仿宋_GB2312" w:cs="仿宋_GB2312" w:eastAsia="仿宋_GB2312"/>
                <w:sz w:val="24"/>
                <w:color w:val="000000"/>
              </w:rPr>
              <w:t>★1.4 人员要求</w:t>
            </w:r>
          </w:p>
          <w:p>
            <w:pPr>
              <w:pStyle w:val="null3"/>
            </w:pPr>
            <w:r>
              <w:rPr>
                <w:rFonts w:ascii="仿宋_GB2312" w:hAnsi="仿宋_GB2312" w:cs="仿宋_GB2312" w:eastAsia="仿宋_GB2312"/>
                <w:sz w:val="24"/>
                <w:color w:val="000000"/>
              </w:rPr>
              <w:t>档案数字化项目组人员充足，不少于</w:t>
            </w:r>
            <w:r>
              <w:rPr>
                <w:rFonts w:ascii="仿宋_GB2312" w:hAnsi="仿宋_GB2312" w:cs="仿宋_GB2312" w:eastAsia="仿宋_GB2312"/>
                <w:sz w:val="24"/>
                <w:color w:val="000000"/>
              </w:rPr>
              <w:t>14人，配置完善合理。</w:t>
            </w:r>
          </w:p>
          <w:p>
            <w:pPr>
              <w:pStyle w:val="null3"/>
            </w:pPr>
            <w:r>
              <w:rPr>
                <w:rFonts w:ascii="仿宋_GB2312" w:hAnsi="仿宋_GB2312" w:cs="仿宋_GB2312" w:eastAsia="仿宋_GB2312"/>
                <w:sz w:val="24"/>
                <w:color w:val="000000"/>
              </w:rPr>
              <w:t>2. 商务要求</w:t>
            </w:r>
          </w:p>
          <w:p>
            <w:pPr>
              <w:pStyle w:val="null3"/>
            </w:pPr>
            <w:r>
              <w:rPr>
                <w:rFonts w:ascii="仿宋_GB2312" w:hAnsi="仿宋_GB2312" w:cs="仿宋_GB2312" w:eastAsia="仿宋_GB2312"/>
                <w:sz w:val="24"/>
                <w:color w:val="000000"/>
              </w:rPr>
              <w:t>2.1服务期限：</w:t>
            </w:r>
          </w:p>
          <w:p>
            <w:pPr>
              <w:pStyle w:val="null3"/>
            </w:pPr>
            <w:r>
              <w:rPr>
                <w:rFonts w:ascii="仿宋_GB2312" w:hAnsi="仿宋_GB2312" w:cs="仿宋_GB2312" w:eastAsia="仿宋_GB2312"/>
                <w:sz w:val="24"/>
                <w:color w:val="000000"/>
              </w:rPr>
              <w:t>自合同签订之日起至预算金额支付完毕</w:t>
            </w:r>
          </w:p>
          <w:p>
            <w:pPr>
              <w:pStyle w:val="null3"/>
            </w:pPr>
            <w:r>
              <w:rPr>
                <w:rFonts w:ascii="仿宋_GB2312" w:hAnsi="仿宋_GB2312" w:cs="仿宋_GB2312" w:eastAsia="仿宋_GB2312"/>
                <w:sz w:val="24"/>
                <w:color w:val="000000"/>
              </w:rPr>
              <w:t>2.2服务地点：</w:t>
            </w:r>
          </w:p>
          <w:p>
            <w:pPr>
              <w:pStyle w:val="null3"/>
            </w:pPr>
            <w:r>
              <w:rPr>
                <w:rFonts w:ascii="仿宋_GB2312" w:hAnsi="仿宋_GB2312" w:cs="仿宋_GB2312" w:eastAsia="仿宋_GB2312"/>
                <w:sz w:val="24"/>
                <w:color w:val="000000"/>
              </w:rPr>
              <w:t>西安市长安区人民法院全区域，采购人指定地点</w:t>
            </w:r>
          </w:p>
          <w:p>
            <w:pPr>
              <w:pStyle w:val="null3"/>
            </w:pPr>
            <w:r>
              <w:rPr>
                <w:rFonts w:ascii="仿宋_GB2312" w:hAnsi="仿宋_GB2312" w:cs="仿宋_GB2312" w:eastAsia="仿宋_GB2312"/>
                <w:sz w:val="24"/>
                <w:color w:val="000000"/>
              </w:rPr>
              <w:t>长安区人民法院地址：西安市长安区西长安街</w:t>
            </w:r>
            <w:r>
              <w:rPr>
                <w:rFonts w:ascii="仿宋_GB2312" w:hAnsi="仿宋_GB2312" w:cs="仿宋_GB2312" w:eastAsia="仿宋_GB2312"/>
                <w:sz w:val="24"/>
                <w:color w:val="000000"/>
              </w:rPr>
              <w:t>141号；</w:t>
            </w:r>
          </w:p>
          <w:p>
            <w:pPr>
              <w:pStyle w:val="null3"/>
            </w:pPr>
            <w:r>
              <w:rPr>
                <w:rFonts w:ascii="仿宋_GB2312" w:hAnsi="仿宋_GB2312" w:cs="仿宋_GB2312" w:eastAsia="仿宋_GB2312"/>
                <w:sz w:val="24"/>
                <w:color w:val="000000"/>
              </w:rPr>
              <w:t>沣峪人民法庭地址：西安市长安区滦镇街道</w:t>
            </w:r>
            <w:r>
              <w:rPr>
                <w:rFonts w:ascii="仿宋_GB2312" w:hAnsi="仿宋_GB2312" w:cs="仿宋_GB2312" w:eastAsia="仿宋_GB2312"/>
                <w:sz w:val="24"/>
                <w:color w:val="000000"/>
              </w:rPr>
              <w:t>313县道（滦镇十字向西200米路北）；</w:t>
            </w:r>
          </w:p>
          <w:p>
            <w:pPr>
              <w:pStyle w:val="null3"/>
            </w:pPr>
            <w:r>
              <w:rPr>
                <w:rFonts w:ascii="仿宋_GB2312" w:hAnsi="仿宋_GB2312" w:cs="仿宋_GB2312" w:eastAsia="仿宋_GB2312"/>
                <w:sz w:val="24"/>
                <w:color w:val="000000"/>
              </w:rPr>
              <w:t>郭杜人民法庭地址：西安市长安区西户路与韦斗路十字西北角；</w:t>
            </w:r>
          </w:p>
          <w:p>
            <w:pPr>
              <w:pStyle w:val="null3"/>
            </w:pPr>
            <w:r>
              <w:rPr>
                <w:rFonts w:ascii="仿宋_GB2312" w:hAnsi="仿宋_GB2312" w:cs="仿宋_GB2312" w:eastAsia="仿宋_GB2312"/>
                <w:sz w:val="24"/>
                <w:color w:val="000000"/>
              </w:rPr>
              <w:t>细柳人民法庭地址：西安市长安区西户路与韦斗路十字西北角；</w:t>
            </w:r>
          </w:p>
          <w:p>
            <w:pPr>
              <w:pStyle w:val="null3"/>
            </w:pPr>
            <w:r>
              <w:rPr>
                <w:rFonts w:ascii="仿宋_GB2312" w:hAnsi="仿宋_GB2312" w:cs="仿宋_GB2312" w:eastAsia="仿宋_GB2312"/>
                <w:sz w:val="24"/>
                <w:color w:val="000000"/>
              </w:rPr>
              <w:t>王曲人民法庭地址：西安市长安区王曲街道</w:t>
            </w:r>
            <w:r>
              <w:rPr>
                <w:rFonts w:ascii="仿宋_GB2312" w:hAnsi="仿宋_GB2312" w:cs="仿宋_GB2312" w:eastAsia="仿宋_GB2312"/>
                <w:sz w:val="24"/>
                <w:color w:val="000000"/>
              </w:rPr>
              <w:t>238县道（王曲派出所旁）；</w:t>
            </w:r>
          </w:p>
          <w:p>
            <w:pPr>
              <w:pStyle w:val="null3"/>
            </w:pPr>
            <w:r>
              <w:rPr>
                <w:rFonts w:ascii="仿宋_GB2312" w:hAnsi="仿宋_GB2312" w:cs="仿宋_GB2312" w:eastAsia="仿宋_GB2312"/>
                <w:sz w:val="24"/>
                <w:color w:val="000000"/>
              </w:rPr>
              <w:t>引镇人民法庭地址：西安市长安区引镇街道太兴南路</w:t>
            </w:r>
            <w:r>
              <w:rPr>
                <w:rFonts w:ascii="仿宋_GB2312" w:hAnsi="仿宋_GB2312" w:cs="仿宋_GB2312" w:eastAsia="仿宋_GB2312"/>
                <w:sz w:val="24"/>
                <w:color w:val="000000"/>
              </w:rPr>
              <w:t>27号；</w:t>
            </w:r>
          </w:p>
          <w:p>
            <w:pPr>
              <w:pStyle w:val="null3"/>
            </w:pPr>
            <w:r>
              <w:rPr>
                <w:rFonts w:ascii="仿宋_GB2312" w:hAnsi="仿宋_GB2312" w:cs="仿宋_GB2312" w:eastAsia="仿宋_GB2312"/>
                <w:sz w:val="24"/>
                <w:color w:val="000000"/>
              </w:rPr>
              <w:t>鸣犊人民法庭地址：西安市长安区鸣犊东街与鸣犊正街交叉口东</w:t>
            </w:r>
            <w:r>
              <w:rPr>
                <w:rFonts w:ascii="仿宋_GB2312" w:hAnsi="仿宋_GB2312" w:cs="仿宋_GB2312" w:eastAsia="仿宋_GB2312"/>
                <w:sz w:val="24"/>
                <w:color w:val="000000"/>
              </w:rPr>
              <w:t>340米；</w:t>
            </w:r>
          </w:p>
          <w:p>
            <w:pPr>
              <w:pStyle w:val="null3"/>
            </w:pPr>
            <w:r>
              <w:rPr>
                <w:rFonts w:ascii="仿宋_GB2312" w:hAnsi="仿宋_GB2312" w:cs="仿宋_GB2312" w:eastAsia="仿宋_GB2312"/>
                <w:sz w:val="24"/>
                <w:color w:val="000000"/>
              </w:rPr>
              <w:t>西安国家民用航天产业基地人民法庭：西安市长安区国家民用航天产业基地航天中路</w:t>
            </w:r>
            <w:r>
              <w:rPr>
                <w:rFonts w:ascii="仿宋_GB2312" w:hAnsi="仿宋_GB2312" w:cs="仿宋_GB2312" w:eastAsia="仿宋_GB2312"/>
                <w:sz w:val="24"/>
                <w:color w:val="000000"/>
              </w:rPr>
              <w:t>518号寰宇大厦8F</w:t>
            </w:r>
          </w:p>
          <w:p>
            <w:pPr>
              <w:pStyle w:val="null3"/>
            </w:pPr>
            <w:r>
              <w:rPr>
                <w:rFonts w:ascii="仿宋_GB2312" w:hAnsi="仿宋_GB2312" w:cs="仿宋_GB2312" w:eastAsia="仿宋_GB2312"/>
                <w:sz w:val="24"/>
                <w:color w:val="000000"/>
              </w:rPr>
              <w:t>3采购最高限价：</w:t>
            </w:r>
          </w:p>
          <w:p>
            <w:pPr>
              <w:pStyle w:val="null3"/>
            </w:pPr>
            <w:r>
              <w:rPr>
                <w:rFonts w:ascii="仿宋_GB2312" w:hAnsi="仿宋_GB2312" w:cs="仿宋_GB2312" w:eastAsia="仿宋_GB2312"/>
                <w:sz w:val="24"/>
                <w:color w:val="000000"/>
              </w:rPr>
              <w:t>采购包最高限价（元）：</w:t>
            </w:r>
            <w:r>
              <w:rPr>
                <w:rFonts w:ascii="仿宋_GB2312" w:hAnsi="仿宋_GB2312" w:cs="仿宋_GB2312" w:eastAsia="仿宋_GB2312"/>
                <w:sz w:val="24"/>
                <w:color w:val="000000"/>
              </w:rPr>
              <w:t>1390000.00</w:t>
            </w:r>
          </w:p>
          <w:p>
            <w:pPr>
              <w:pStyle w:val="null3"/>
            </w:pPr>
            <w:r>
              <w:rPr>
                <w:rFonts w:ascii="仿宋_GB2312" w:hAnsi="仿宋_GB2312" w:cs="仿宋_GB2312" w:eastAsia="仿宋_GB2312"/>
                <w:sz w:val="24"/>
                <w:color w:val="000000"/>
              </w:rPr>
              <w:t>采购包</w:t>
            </w:r>
            <w:r>
              <w:rPr>
                <w:rFonts w:ascii="仿宋_GB2312" w:hAnsi="仿宋_GB2312" w:cs="仿宋_GB2312" w:eastAsia="仿宋_GB2312"/>
                <w:sz w:val="24"/>
                <w:color w:val="000000"/>
                <w:u w:val="single"/>
              </w:rPr>
              <w:t>单价限价：</w:t>
            </w:r>
            <w:r>
              <w:rPr>
                <w:rFonts w:ascii="仿宋_GB2312" w:hAnsi="仿宋_GB2312" w:cs="仿宋_GB2312" w:eastAsia="仿宋_GB2312"/>
                <w:sz w:val="24"/>
                <w:color w:val="000000"/>
                <w:u w:val="single"/>
              </w:rPr>
              <w:t>58</w:t>
            </w:r>
            <w:r>
              <w:rPr>
                <w:rFonts w:ascii="仿宋_GB2312" w:hAnsi="仿宋_GB2312" w:cs="仿宋_GB2312" w:eastAsia="仿宋_GB2312"/>
                <w:sz w:val="24"/>
                <w:color w:val="000000"/>
                <w:u w:val="single"/>
              </w:rPr>
              <w:t>元</w:t>
            </w:r>
            <w:r>
              <w:rPr>
                <w:rFonts w:ascii="仿宋_GB2312" w:hAnsi="仿宋_GB2312" w:cs="仿宋_GB2312" w:eastAsia="仿宋_GB2312"/>
                <w:sz w:val="24"/>
                <w:color w:val="000000"/>
                <w:u w:val="single"/>
              </w:rPr>
              <w:t>/案</w:t>
            </w:r>
            <w:r>
              <w:rPr>
                <w:rFonts w:ascii="仿宋_GB2312" w:hAnsi="仿宋_GB2312" w:cs="仿宋_GB2312" w:eastAsia="仿宋_GB2312"/>
                <w:sz w:val="24"/>
                <w:color w:val="000000"/>
              </w:rPr>
              <w:t>。（本项目报单价进行评审和最终结算，结算累计金额至预算金额支付完毕。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档案数字化项目组人员充足，不少于14人，配置完善合理。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提供本项目投入的设备配置情况，结合相关技术支持材料，满足档案数字化项目设备配置数量、设备先进、设备使用安全性</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自合同签订之日起至预算金额支付完毕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采购文件以及响应文件中所有服务内容，以及质量是否达到现行国家有关验收规范“合格”标准、是否按照采购人要求实施、是否按照采购人要求提供相关培训、是否在规定时间内完成工作。 1.服务内容和质量最终验收达不到采购文件要求和响应文件承诺的，或在项目实施中发现采购人不能容忍的缺陷等，将视为验收不合格，供应商应在采购人要求的时间内无条件免费进行整改。 2.验收标准：按采购文件、响应文件及澄清函等进行验收。 3.验收合格后，填写验收单，双方签字生效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1、服务单价最高限价:档案扫描 元 /案（包括立案、庭前、庭后、结案、归档5个节点的电子卷宗随案同步生成一切费用）。本项目签订合同后15个工作日内，甲方向乙方支付合同总价30%的价款，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剩余70%按照每月实际扫描数量，经甲方确认后，每月15日据实结算上月价款。完成案件的立案节点后支付个案中标价的30%，案件归档后支付个案中标价的70%，结算价款总额不超过预算额（1390000.00元）。</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并承担合同总额20%的违约责任。 二、合同争议解决的方式： 1、在执行本合同中发生的或与本合同有关的争端，双方应通过友好协商解决，经协商不能达成协议时，则采取向有管辖权的人民法院提起诉讼的方式解决争议； 2、在争议解决期间，本合同应继续履行。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无重大违法说明：参加本次政府采购活动前3年内在经营活动中没有重大违法记录，以及未被列入失信被执行人、重大税收违法案件当事人名单、政府采购严重违法失信行为记录名单的书面声明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保密资质证明</w:t>
            </w:r>
          </w:p>
        </w:tc>
        <w:tc>
          <w:tcPr>
            <w:tcW w:type="dxa" w:w="3322"/>
          </w:tcPr>
          <w:p>
            <w:pPr>
              <w:pStyle w:val="null3"/>
            </w:pPr>
            <w:r>
              <w:rPr>
                <w:rFonts w:ascii="仿宋_GB2312" w:hAnsi="仿宋_GB2312" w:cs="仿宋_GB2312" w:eastAsia="仿宋_GB2312"/>
              </w:rPr>
              <w:t>投标人须具备省级及以上国家保密局颁发的《国家秘密载体印制资质》乙级或以上资质（资质类别为“涉密档案数字化加工”），其中省外乙级资质投标人应当向陕西省保密行政管理部门备案，提供备案证明（甲级资质无需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联合体承诺书.docx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服务内容及服务邀请应答表 法定代表人身份证明、法定代表人授权.docx 中小企业声明函 商务应答表 供应商应提交的相关资格证明材料 报价表 具有履行本合同所必需的设备和专业技术能力的书面声明.docx 供应商承诺书.docx 供应商无重大违法记录书面声明.docx 响应文件封面 类似业绩情况表.docx 联合体承诺书.docx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报价唯一，且没有高于采购预算或磋商文件规定的最高限价（含单价限价）。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“★”符号标明的条款</w:t>
            </w:r>
          </w:p>
        </w:tc>
        <w:tc>
          <w:tcPr>
            <w:tcW w:type="dxa" w:w="3322"/>
          </w:tcPr>
          <w:p>
            <w:pPr>
              <w:pStyle w:val="null3"/>
            </w:pPr>
            <w:r>
              <w:rPr>
                <w:rFonts w:ascii="仿宋_GB2312" w:hAnsi="仿宋_GB2312" w:cs="仿宋_GB2312" w:eastAsia="仿宋_GB2312"/>
              </w:rPr>
              <w:t>为实质性要求和条件，投标文件对其中任何一条的偏离，为实质性偏离，其投标无效</w:t>
            </w:r>
          </w:p>
        </w:tc>
        <w:tc>
          <w:tcPr>
            <w:tcW w:type="dxa" w:w="1661"/>
          </w:tcPr>
          <w:p>
            <w:pPr>
              <w:pStyle w:val="null3"/>
            </w:pPr>
            <w:r>
              <w:rPr>
                <w:rFonts w:ascii="仿宋_GB2312" w:hAnsi="仿宋_GB2312" w:cs="仿宋_GB2312" w:eastAsia="仿宋_GB2312"/>
              </w:rPr>
              <w:t>服务内容及服务邀请应答表 法定代表人身份证明、法定代表人授权.docx 中小企业声明函 商务应答表 供应商应提交的相关资格证明材料 报价表 具有履行本合同所必需的设备和专业技术能力的书面声明.docx 供应商承诺书.docx 供应商无重大违法记录书面声明.docx 类似业绩情况表.docx 联合体承诺书.docx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1.投标人具有有效的质量管理体系认证证书、信息安全管理体系认证证书、信息技术管理服务体系认证证书，每提供一份证书得2分，本项最高6分。 2.提供2022年1月1日至今完成的类似项目业绩（以合同签订时间为准、提供合同复印件加盖公章），提供1份得1分,本项最高得9分。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项目整体服务方案进行综合评审，包含：①项目管理方案；②项目实施组织架构及岗位职责；③项目实施流程图；④档案整理方案；⑤档案扫描方案；⑥图像处理方案；⑦数据录入方案；⑧档案装订方案；⑨档案交接方案；⑩项目验收方案等。 1.以上方案内容每有一项得1分，在方案内容全面完整的基础上，整体方案切实可行、满足本项目实际需求加5分 2.以上方案内容每有一项得1分，在方案内容全面完整的基础上，整体方案可行性一般、基本满足本项目实际需求得3分 3.以上方案内容每有一项得1分，在方案内容全面完整的基础上，可行性较差、不完全满足本项目实际需求得1分 4.未提供得0分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项目重、难点分析及应对措施</w:t>
            </w:r>
          </w:p>
        </w:tc>
        <w:tc>
          <w:tcPr>
            <w:tcW w:type="dxa" w:w="2492"/>
          </w:tcPr>
          <w:p>
            <w:pPr>
              <w:pStyle w:val="null3"/>
            </w:pPr>
            <w:r>
              <w:rPr>
                <w:rFonts w:ascii="仿宋_GB2312" w:hAnsi="仿宋_GB2312" w:cs="仿宋_GB2312" w:eastAsia="仿宋_GB2312"/>
              </w:rPr>
              <w:t>根据投标人对项目重、难点分析及应对措施是否合理、可行进行评审，包括：①项目重、难点分析；②针对本项目应对措施。 1.以上方案内容每有一项得3分，在内容全面完整的基础上，重难点分析到位，措施得当，内容完整，满足本项目实际需求加4分 2.以上方案内容每有一项得3分，在内容全面完整的基础上，重难点分析基本到位，措施较得当，内容较完整，基本满足本项目实际需求得2分 3.重难点分析有误，措施无效，内容有缺失，不满足本项目实际需求得1分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一．根据投标人针对本项目制定的质量保障措施，内容应包含：①质量保证控制措施；②各环节质量检查方案；③加工过程质量控制。 1.质量保障措施得当，内容完整，满足本项目实际需求得6分 2.质量保障措施较得当，内容较完整，基本满足本项目实际需求得4分 3.质量保障措施不当，内容不完整，不满足本项目实际需求得2分 4.未提供得0分 二．通过专业加工软件系统对质量进行保障，内容应包含：①提供档案数字化加工管理系统的文字说明及软件截图说明对加工质量进行保障；②提供档案数字化质检系统的文字说明及软件截图说明对加工质量进行保障。 1.软件系统适用、性能稳定、满足本项目实际需求得4分 2.软件系统适用、基本满足本项目实际需求得2分 3.软件系统不适用、性能较差，无法满足本项目实际需求得1分 4.未提供得0分 三.投标人根据项目特点提供拟投入适用于本项目的加工设备。 1.配置设备适用、性能稳定、满足本项目实际需求得5分 2.配置设备适用、基本满足本项目实际需求得3分 3.配置设备不适用、性能较差，无法满足本项目实际需求得1分 4.未提供得0分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项目安全 制度保障</w:t>
            </w:r>
          </w:p>
        </w:tc>
        <w:tc>
          <w:tcPr>
            <w:tcW w:type="dxa" w:w="2492"/>
          </w:tcPr>
          <w:p>
            <w:pPr>
              <w:pStyle w:val="null3"/>
            </w:pPr>
            <w:r>
              <w:rPr>
                <w:rFonts w:ascii="仿宋_GB2312" w:hAnsi="仿宋_GB2312" w:cs="仿宋_GB2312" w:eastAsia="仿宋_GB2312"/>
              </w:rPr>
              <w:t>项目制度建设，根据制度完备、系统情况（包括①档案信息安全保障措施；②档案[电子、纸质]安全保密；③档案交接；④加工过程保管、归还；⑤实物档案安全保障），制度明确、具体、可行情况 1.项目制度内容完整、可行性高、满足本项目实际需求得5分 2.项目制度基本完整、可行性一般、基本满足本项目实际需求得3分 3.项目制度有缺失、可行性较差、不完全满足本项目实际需求得1分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实施应急预案</w:t>
            </w:r>
          </w:p>
        </w:tc>
        <w:tc>
          <w:tcPr>
            <w:tcW w:type="dxa" w:w="2492"/>
          </w:tcPr>
          <w:p>
            <w:pPr>
              <w:pStyle w:val="null3"/>
            </w:pPr>
            <w:r>
              <w:rPr>
                <w:rFonts w:ascii="仿宋_GB2312" w:hAnsi="仿宋_GB2312" w:cs="仿宋_GB2312" w:eastAsia="仿宋_GB2312"/>
              </w:rPr>
              <w:t>根据预案合理性、可操作性进行评审，包含①应急保障措施；②故障处理的响应时间安排计划 1.预案合理，内容完整、可操作性强、满足本项目实际需求得5分 2.预案较合理，内容基本完整、可操作性一般、基本满足本项目实际需求得3分 3.预案内容不完整、可操作性较差、不完全满足本项目实际需求得1分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项目人员及设备的配备</w:t>
            </w:r>
          </w:p>
        </w:tc>
        <w:tc>
          <w:tcPr>
            <w:tcW w:type="dxa" w:w="2492"/>
          </w:tcPr>
          <w:p>
            <w:pPr>
              <w:pStyle w:val="null3"/>
            </w:pPr>
            <w:r>
              <w:rPr>
                <w:rFonts w:ascii="仿宋_GB2312" w:hAnsi="仿宋_GB2312" w:cs="仿宋_GB2312" w:eastAsia="仿宋_GB2312"/>
              </w:rPr>
              <w:t>1.拟派本项目的项目经理须具备相关的专业能力，2 年以上档案数字化相关项目管理经验（以类似业绩合同或投标人出具的委派函为准），并提供学历、档案培训等证书情况，满足本项目需求得7 分； 2.项目团队人员数量及设备应配备充足，满足服务要求。根据投标人拟派本项目的小组成员的配置情况表，其小组成员学历、工作经历、档案培训等证书，以及项目设备的配置表，其设施设备的型号、参数、使用年限等情况，能高效、按时、高质量、安全完成项目，按其响应程度计 0～8分。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各有效供应商的评审价中，取最低者作为基准价，各有效供应商的价格评分统一按照下列公式计算：价格评分＝（基准价÷评审价）×价格分分值。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详见附件：类似业绩情况表.docx</w:t>
      </w:r>
    </w:p>
    <w:p>
      <w:pPr>
        <w:pStyle w:val="null3"/>
        <w:ind w:firstLine="960"/>
      </w:pPr>
      <w:r>
        <w:rPr>
          <w:rFonts w:ascii="仿宋_GB2312" w:hAnsi="仿宋_GB2312" w:cs="仿宋_GB2312" w:eastAsia="仿宋_GB2312"/>
        </w:rPr>
        <w:t>详见附件：联合体承诺书.docx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详见附件：西安市长安区人民法院合同.docx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