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版本号：LBZB-CG202550820250519001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编撰《西安美术史》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LBZB-CG2025508</w:t>
      </w:r>
      <w:r>
        <w:br/>
      </w:r>
      <w:r>
        <w:br/>
      </w:r>
      <w:r>
        <w:br/>
      </w:r>
    </w:p>
    <w:p>
      <w:pPr>
        <w:pStyle w:val="null3"/>
        <w:jc w:val="center"/>
        <w:outlineLvl w:val="2"/>
      </w:pPr>
      <w:r>
        <w:rPr>
          <w:rFonts w:ascii="仿宋_GB2312" w:hAnsi="仿宋_GB2312" w:cs="仿宋_GB2312" w:eastAsia="仿宋_GB2312"/>
          <w:sz w:val="28"/>
          <w:b/>
        </w:rPr>
        <w:t>西安中国画院</w:t>
      </w:r>
    </w:p>
    <w:p>
      <w:pPr>
        <w:pStyle w:val="null3"/>
        <w:jc w:val="center"/>
        <w:outlineLvl w:val="2"/>
      </w:pPr>
      <w:r>
        <w:rPr>
          <w:rFonts w:ascii="仿宋_GB2312" w:hAnsi="仿宋_GB2312" w:cs="仿宋_GB2312" w:eastAsia="仿宋_GB2312"/>
          <w:sz w:val="28"/>
          <w:b/>
        </w:rPr>
        <w:t>陕西立标项目管理咨询有限公司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陕西立标项目管理咨询有限公司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西安中国画院</w:t>
      </w:r>
      <w:r>
        <w:rPr>
          <w:rFonts w:ascii="仿宋_GB2312" w:hAnsi="仿宋_GB2312" w:cs="仿宋_GB2312" w:eastAsia="仿宋_GB2312"/>
        </w:rPr>
        <w:t>委托，拟对</w:t>
      </w:r>
      <w:r>
        <w:rPr>
          <w:rFonts w:ascii="仿宋_GB2312" w:hAnsi="仿宋_GB2312" w:cs="仿宋_GB2312" w:eastAsia="仿宋_GB2312"/>
        </w:rPr>
        <w:t>编撰《西安美术史》</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LBZB-CG2025508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编撰《西安美术史》</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加快建设国家中心城市的战略部署，梳理、研究和宣传西安美术文化历史传承和辉煌成就，彰显西安美术艺术水平和研究成果，拟编撰一部集思想性、专业性、普及性和阅读性于一体的《西安美术史》，为西安实现文化和旅游深度融合发展和文化强市建设作出应有贡献。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采购包1（编撰《西安美术史》）：属于专门面向中小企业采购。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1、供应商主体资格：具有独立承担民事责任能力的法人、其他组织或自然人，并出具合法有效的营业执照等国家规定的相关证明，自然人参与的提供其身份证明（提供复印件加盖公章）</w:t>
      </w:r>
    </w:p>
    <w:p>
      <w:pPr>
        <w:pStyle w:val="null3"/>
      </w:pPr>
      <w:r>
        <w:rPr>
          <w:rFonts w:ascii="仿宋_GB2312" w:hAnsi="仿宋_GB2312" w:cs="仿宋_GB2312" w:eastAsia="仿宋_GB2312"/>
        </w:rPr>
        <w:t>2、供应商代表资格：供应商应授权合法的人员参加采购活动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财务状况报告：提供2023年度或2024年度的财务报表（至少包括资产负债表和利润表，成立时间至提交磋商响应文件递交截止时间不足一年的可提供成立后任意时段的资产负债表），或其基本存款账户开户银行出具的资信证明（附开户许可证或开户备案证明）；</w:t>
      </w:r>
    </w:p>
    <w:p>
      <w:pPr>
        <w:pStyle w:val="null3"/>
      </w:pPr>
      <w:r>
        <w:rPr>
          <w:rFonts w:ascii="仿宋_GB2312" w:hAnsi="仿宋_GB2312" w:cs="仿宋_GB2312" w:eastAsia="仿宋_GB2312"/>
        </w:rPr>
        <w:t>4、税收缴纳证明：提供磋商截止日前一年内已缴纳的至少一个月的纳税证明或完税证明（任意税种），依法免税的单位应提供相关证明材料；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6、没有重大违法记录书面声明：参加政府采购活动近三年内，在经营活动中没有重大违法记录书面声明（加盖公章）；</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西安中国画院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含光南路296号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西安中国画院经办王欣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710065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陕西立标项目管理咨询有限公司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西安市未央区明光路与元朔路十字东北角明丰伯马都 A 座北 1104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15291085007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以实际中标价为计算基数，参照国家计委[2002]1980号文件《招标代理服务收费管理暂行办法》、发改委[2011]534号文件《关于降低部分建设项目收费标准规范收费行为等有关问题的通知》规定的收费标准下浮30%收取。 2.成交代理服务费由成交人支付，成交单位在领取成交通知书前，须向采购代理机构一次性支付代理服务费。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西安中国画院</w:t>
      </w:r>
      <w:r>
        <w:rPr>
          <w:rFonts w:ascii="仿宋_GB2312" w:hAnsi="仿宋_GB2312" w:cs="仿宋_GB2312" w:eastAsia="仿宋_GB2312"/>
        </w:rPr>
        <w:t>和</w:t>
      </w:r>
      <w:r>
        <w:rPr>
          <w:rFonts w:ascii="仿宋_GB2312" w:hAnsi="仿宋_GB2312" w:cs="仿宋_GB2312" w:eastAsia="仿宋_GB2312"/>
        </w:rPr>
        <w:t>陕西立标项目管理咨询有限公司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西安中国画院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陕西立标项目管理咨询有限公司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西安中国画院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陕西立标项目管理咨询有限公司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联系人：张鹏</w:t>
      </w:r>
    </w:p>
    <w:p>
      <w:pPr>
        <w:pStyle w:val="null3"/>
      </w:pPr>
      <w:r>
        <w:rPr>
          <w:rFonts w:ascii="仿宋_GB2312" w:hAnsi="仿宋_GB2312" w:cs="仿宋_GB2312" w:eastAsia="仿宋_GB2312"/>
        </w:rPr>
        <w:t>联系电话：15291085007</w:t>
      </w:r>
    </w:p>
    <w:p>
      <w:pPr>
        <w:pStyle w:val="null3"/>
      </w:pPr>
      <w:r>
        <w:rPr>
          <w:rFonts w:ascii="仿宋_GB2312" w:hAnsi="仿宋_GB2312" w:cs="仿宋_GB2312" w:eastAsia="仿宋_GB2312"/>
        </w:rPr>
        <w:t>地址： 西安市未央区明光路与元朔路十字东北角明丰伯马都 A 座北 1104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加快建设国家中心城市的战略部署，梳理、研究和宣传西安美术文化历史传承和辉煌成就，彰显西安美术艺术水平和研究成果，拟编撰一部集思想性、专业性、普及性和阅读性于一体的《西安美术史》，为西安实现文化和旅游深度融合发展和文化强市建设作出应有贡献。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1,105,000.00</w:t>
      </w:r>
    </w:p>
    <w:p>
      <w:pPr>
        <w:pStyle w:val="null3"/>
      </w:pPr>
      <w:r>
        <w:rPr>
          <w:rFonts w:ascii="仿宋_GB2312" w:hAnsi="仿宋_GB2312" w:cs="仿宋_GB2312" w:eastAsia="仿宋_GB2312"/>
        </w:rPr>
        <w:t>采购包最高限价（元）: 1,105,000.00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美术编撰工程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标的名称：美术编撰工程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成品及工艺要求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 上下册；</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 成品尺寸：210mm×285mm；</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 页码 1300p；</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 印制数量：2000套；</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 装订方式：圆脊精装（3.0mm箱板纸）两册配套装书函；</w:t>
            </w:r>
          </w:p>
          <w:p>
            <w:pPr>
              <w:pStyle w:val="null3"/>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 精装封面：装帧布，局部丝网印刷，热压凹烫金，条码不干胶粘贴；</w:t>
            </w:r>
          </w:p>
          <w:p>
            <w:pPr>
              <w:pStyle w:val="null3"/>
            </w:pPr>
            <w:r>
              <w:rPr>
                <w:rFonts w:ascii="仿宋_GB2312" w:hAnsi="仿宋_GB2312" w:cs="仿宋_GB2312" w:eastAsia="仿宋_GB2312"/>
              </w:rPr>
              <w:t>7)</w:t>
            </w:r>
            <w:r>
              <w:rPr>
                <w:rFonts w:ascii="仿宋_GB2312" w:hAnsi="仿宋_GB2312" w:cs="仿宋_GB2312" w:eastAsia="仿宋_GB2312"/>
              </w:rPr>
              <w:t>. 正文用料：</w:t>
            </w:r>
            <w:r>
              <w:rPr>
                <w:rFonts w:ascii="仿宋_GB2312" w:hAnsi="仿宋_GB2312" w:cs="仿宋_GB2312" w:eastAsia="仿宋_GB2312"/>
              </w:rPr>
              <w:t>100</w:t>
            </w:r>
            <w:r>
              <w:rPr>
                <w:rFonts w:ascii="仿宋_GB2312" w:hAnsi="仿宋_GB2312" w:cs="仿宋_GB2312" w:eastAsia="仿宋_GB2312"/>
              </w:rPr>
              <w:t>g</w:t>
            </w:r>
            <w:r>
              <w:rPr>
                <w:rFonts w:ascii="仿宋_GB2312" w:hAnsi="仿宋_GB2312" w:cs="仿宋_GB2312" w:eastAsia="仿宋_GB2312"/>
              </w:rPr>
              <w:t>高阶映画映彩</w:t>
            </w:r>
            <w:r>
              <w:rPr>
                <w:rFonts w:ascii="仿宋_GB2312" w:hAnsi="仿宋_GB2312" w:cs="仿宋_GB2312" w:eastAsia="仿宋_GB2312"/>
              </w:rPr>
              <w:t>5c+5c印刷；</w:t>
            </w:r>
          </w:p>
          <w:p>
            <w:pPr>
              <w:pStyle w:val="null3"/>
            </w:pPr>
            <w:r>
              <w:rPr>
                <w:rFonts w:ascii="仿宋_GB2312" w:hAnsi="仿宋_GB2312" w:cs="仿宋_GB2312" w:eastAsia="仿宋_GB2312"/>
                <w:b/>
              </w:rPr>
              <w:t>二</w:t>
            </w:r>
            <w:r>
              <w:rPr>
                <w:rFonts w:ascii="仿宋_GB2312" w:hAnsi="仿宋_GB2312" w:cs="仿宋_GB2312" w:eastAsia="仿宋_GB2312"/>
                <w:b/>
              </w:rPr>
              <w:t>、目标绩效</w:t>
            </w:r>
          </w:p>
          <w:p>
            <w:pPr>
              <w:pStyle w:val="null3"/>
            </w:pPr>
            <w:r>
              <w:rPr>
                <w:rFonts w:ascii="仿宋_GB2312" w:hAnsi="仿宋_GB2312" w:cs="仿宋_GB2312" w:eastAsia="仿宋_GB2312"/>
              </w:rPr>
              <w:t>1.</w:t>
            </w:r>
            <w:r>
              <w:rPr>
                <w:rFonts w:ascii="仿宋_GB2312" w:hAnsi="仿宋_GB2312" w:cs="仿宋_GB2312" w:eastAsia="仿宋_GB2312"/>
              </w:rPr>
              <w:t>2025年完成印刷出版</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审校</w:t>
            </w:r>
            <w:r>
              <w:rPr>
                <w:rFonts w:ascii="仿宋_GB2312" w:hAnsi="仿宋_GB2312" w:cs="仿宋_GB2312" w:eastAsia="仿宋_GB2312"/>
              </w:rPr>
              <w:t>3次</w:t>
            </w:r>
            <w:r>
              <w:rPr>
                <w:rFonts w:ascii="仿宋_GB2312" w:hAnsi="仿宋_GB2312" w:cs="仿宋_GB2312" w:eastAsia="仿宋_GB2312"/>
              </w:rPr>
              <w:t>以上</w:t>
            </w:r>
            <w:r>
              <w:rPr>
                <w:rFonts w:ascii="仿宋_GB2312" w:hAnsi="仿宋_GB2312" w:cs="仿宋_GB2312" w:eastAsia="仿宋_GB2312"/>
              </w:rPr>
              <w:t>；</w:t>
            </w:r>
          </w:p>
          <w:p>
            <w:pPr>
              <w:pStyle w:val="null3"/>
            </w:pPr>
            <w:r>
              <w:rPr>
                <w:rFonts w:ascii="仿宋_GB2312" w:hAnsi="仿宋_GB2312" w:cs="仿宋_GB2312" w:eastAsia="仿宋_GB2312"/>
              </w:rPr>
              <w:t>3.学界认可度调查80%以上；</w:t>
            </w:r>
          </w:p>
          <w:p>
            <w:pPr>
              <w:pStyle w:val="null3"/>
            </w:pPr>
            <w:r>
              <w:rPr>
                <w:rFonts w:ascii="仿宋_GB2312" w:hAnsi="仿宋_GB2312" w:cs="仿宋_GB2312" w:eastAsia="仿宋_GB2312"/>
              </w:rPr>
              <w:t>4.读者满意度80%以上。</w:t>
            </w:r>
          </w:p>
          <w:p>
            <w:pPr>
              <w:pStyle w:val="null3"/>
            </w:pPr>
            <w:r>
              <w:rPr>
                <w:rFonts w:ascii="仿宋_GB2312" w:hAnsi="仿宋_GB2312" w:cs="仿宋_GB2312" w:eastAsia="仿宋_GB2312"/>
                <w:b/>
              </w:rPr>
              <w:t>三</w:t>
            </w:r>
            <w:r>
              <w:rPr>
                <w:rFonts w:ascii="仿宋_GB2312" w:hAnsi="仿宋_GB2312" w:cs="仿宋_GB2312" w:eastAsia="仿宋_GB2312"/>
                <w:b/>
              </w:rPr>
              <w:t>、实施进度</w:t>
            </w:r>
            <w:r>
              <w:rPr>
                <w:rFonts w:ascii="仿宋_GB2312" w:hAnsi="仿宋_GB2312" w:cs="仿宋_GB2312" w:eastAsia="仿宋_GB2312"/>
                <w:b/>
              </w:rPr>
              <w:t>及目标</w:t>
            </w:r>
          </w:p>
          <w:p>
            <w:pPr>
              <w:pStyle w:val="null3"/>
            </w:pPr>
            <w:r>
              <w:rPr>
                <w:rFonts w:ascii="仿宋_GB2312" w:hAnsi="仿宋_GB2312" w:cs="仿宋_GB2312" w:eastAsia="仿宋_GB2312"/>
              </w:rPr>
              <w:t>实施进度：自合同签订之日起至项目结束；</w:t>
            </w:r>
          </w:p>
          <w:p>
            <w:pPr>
              <w:pStyle w:val="null3"/>
            </w:pPr>
            <w:r>
              <w:rPr>
                <w:rFonts w:ascii="仿宋_GB2312" w:hAnsi="仿宋_GB2312" w:cs="仿宋_GB2312" w:eastAsia="仿宋_GB2312"/>
              </w:rPr>
              <w:t>实施目标：本项目需完成排版、设计；审核校对，专家看稿会，修改；印刷出版；学界及读者满意度调查，结项。</w:t>
            </w:r>
          </w:p>
          <w:p>
            <w:pPr>
              <w:pStyle w:val="null3"/>
            </w:pPr>
            <w:r>
              <w:rPr>
                <w:rFonts w:ascii="仿宋_GB2312" w:hAnsi="仿宋_GB2312" w:cs="仿宋_GB2312" w:eastAsia="仿宋_GB2312"/>
                <w:b/>
              </w:rPr>
              <w:t>四</w:t>
            </w:r>
            <w:r>
              <w:rPr>
                <w:rFonts w:ascii="仿宋_GB2312" w:hAnsi="仿宋_GB2312" w:cs="仿宋_GB2312" w:eastAsia="仿宋_GB2312"/>
                <w:b/>
              </w:rPr>
              <w:t>、</w:t>
            </w:r>
            <w:r>
              <w:rPr>
                <w:rFonts w:ascii="仿宋_GB2312" w:hAnsi="仿宋_GB2312" w:cs="仿宋_GB2312" w:eastAsia="仿宋_GB2312"/>
                <w:b/>
              </w:rPr>
              <w:t>项目内容</w:t>
            </w:r>
          </w:p>
          <w:p>
            <w:pPr>
              <w:pStyle w:val="null3"/>
            </w:pPr>
            <w:r>
              <w:rPr>
                <w:rFonts w:ascii="仿宋_GB2312" w:hAnsi="仿宋_GB2312" w:cs="仿宋_GB2312" w:eastAsia="仿宋_GB2312"/>
              </w:rPr>
              <w:t>本</w:t>
            </w:r>
            <w:r>
              <w:rPr>
                <w:rFonts w:ascii="仿宋_GB2312" w:hAnsi="仿宋_GB2312" w:cs="仿宋_GB2312" w:eastAsia="仿宋_GB2312"/>
              </w:rPr>
              <w:t>项目</w:t>
            </w:r>
            <w:r>
              <w:rPr>
                <w:rFonts w:ascii="仿宋_GB2312" w:hAnsi="仿宋_GB2312" w:cs="仿宋_GB2312" w:eastAsia="仿宋_GB2312"/>
              </w:rPr>
              <w:t>不限于以下内容</w:t>
            </w:r>
            <w:r>
              <w:rPr>
                <w:rFonts w:ascii="仿宋_GB2312" w:hAnsi="仿宋_GB2312" w:cs="仿宋_GB2312" w:eastAsia="仿宋_GB2312"/>
              </w:rPr>
              <w:t>。</w:t>
            </w:r>
          </w:p>
          <w:p>
            <w:pPr>
              <w:pStyle w:val="null3"/>
            </w:pPr>
            <w:r>
              <w:rPr>
                <w:rFonts w:ascii="仿宋_GB2312" w:hAnsi="仿宋_GB2312" w:cs="仿宋_GB2312" w:eastAsia="仿宋_GB2312"/>
              </w:rPr>
              <w:t>1. 《西安美术史》项目专家咨询（</w:t>
            </w:r>
            <w:r>
              <w:rPr>
                <w:rFonts w:ascii="仿宋_GB2312" w:hAnsi="仿宋_GB2312" w:cs="仿宋_GB2312" w:eastAsia="仿宋_GB2312"/>
              </w:rPr>
              <w:t>在定稿前</w:t>
            </w:r>
            <w:r>
              <w:rPr>
                <w:rFonts w:ascii="仿宋_GB2312" w:hAnsi="仿宋_GB2312" w:cs="仿宋_GB2312" w:eastAsia="仿宋_GB2312"/>
              </w:rPr>
              <w:t>组织专家看稿</w:t>
            </w:r>
            <w:r>
              <w:rPr>
                <w:rFonts w:ascii="仿宋_GB2312" w:hAnsi="仿宋_GB2312" w:cs="仿宋_GB2312" w:eastAsia="仿宋_GB2312"/>
              </w:rPr>
              <w:t>3次</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1）正高级专家2-5名</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2）普通专家3-5名</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3）预计三次会议（每次一天，专家数量根据实际情况邀约）</w:t>
            </w:r>
            <w:r>
              <w:rPr>
                <w:rFonts w:ascii="仿宋_GB2312" w:hAnsi="仿宋_GB2312" w:cs="仿宋_GB2312" w:eastAsia="仿宋_GB2312"/>
              </w:rPr>
              <w:t>。</w:t>
            </w:r>
          </w:p>
          <w:p>
            <w:pPr>
              <w:pStyle w:val="null3"/>
            </w:pPr>
            <w:r>
              <w:rPr>
                <w:rFonts w:ascii="仿宋_GB2312" w:hAnsi="仿宋_GB2312" w:cs="仿宋_GB2312" w:eastAsia="仿宋_GB2312"/>
              </w:rPr>
              <w:t>2. 看稿会场地、布置、食宿、交通等；</w:t>
            </w:r>
          </w:p>
          <w:p>
            <w:pPr>
              <w:pStyle w:val="null3"/>
            </w:pPr>
            <w:r>
              <w:rPr>
                <w:rFonts w:ascii="仿宋_GB2312" w:hAnsi="仿宋_GB2312" w:cs="仿宋_GB2312" w:eastAsia="仿宋_GB2312"/>
              </w:rPr>
              <w:t>3. 《西安美术史》项目相关视频资料拍摄；</w:t>
            </w:r>
          </w:p>
          <w:p>
            <w:pPr>
              <w:pStyle w:val="null3"/>
            </w:pPr>
            <w:r>
              <w:rPr>
                <w:rFonts w:ascii="仿宋_GB2312" w:hAnsi="仿宋_GB2312" w:cs="仿宋_GB2312" w:eastAsia="仿宋_GB2312"/>
              </w:rPr>
              <w:t>（</w:t>
            </w:r>
            <w:r>
              <w:rPr>
                <w:rFonts w:ascii="仿宋_GB2312" w:hAnsi="仿宋_GB2312" w:cs="仿宋_GB2312" w:eastAsia="仿宋_GB2312"/>
              </w:rPr>
              <w:t>1）视频拍摄（会议全程）：单机位，2机位</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2）素材、花絮、资料拍摄：单机位</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3）人物专访拍摄：单机位</w:t>
            </w:r>
            <w:r>
              <w:rPr>
                <w:rFonts w:ascii="仿宋_GB2312" w:hAnsi="仿宋_GB2312" w:cs="仿宋_GB2312" w:eastAsia="仿宋_GB2312"/>
              </w:rPr>
              <w:t>；</w:t>
            </w:r>
          </w:p>
          <w:p>
            <w:pPr>
              <w:pStyle w:val="null3"/>
            </w:pPr>
            <w:r>
              <w:rPr>
                <w:rFonts w:ascii="仿宋_GB2312" w:hAnsi="仿宋_GB2312" w:cs="仿宋_GB2312" w:eastAsia="仿宋_GB2312"/>
              </w:rPr>
              <w:t>4. 《西安美术史》</w:t>
            </w:r>
            <w:r>
              <w:rPr>
                <w:rFonts w:ascii="仿宋_GB2312" w:hAnsi="仿宋_GB2312" w:cs="仿宋_GB2312" w:eastAsia="仿宋_GB2312"/>
              </w:rPr>
              <w:t>创作历程相关</w:t>
            </w:r>
            <w:r>
              <w:rPr>
                <w:rFonts w:ascii="仿宋_GB2312" w:hAnsi="仿宋_GB2312" w:cs="仿宋_GB2312" w:eastAsia="仿宋_GB2312"/>
              </w:rPr>
              <w:t>视频剪辑、包装制作；</w:t>
            </w:r>
          </w:p>
          <w:p>
            <w:pPr>
              <w:pStyle w:val="null3"/>
            </w:pPr>
            <w:r>
              <w:rPr>
                <w:rFonts w:ascii="仿宋_GB2312" w:hAnsi="仿宋_GB2312" w:cs="仿宋_GB2312" w:eastAsia="仿宋_GB2312"/>
              </w:rPr>
              <w:t>（</w:t>
            </w:r>
            <w:r>
              <w:rPr>
                <w:rFonts w:ascii="仿宋_GB2312" w:hAnsi="仿宋_GB2312" w:cs="仿宋_GB2312" w:eastAsia="仿宋_GB2312"/>
              </w:rPr>
              <w:t>1）视频剪辑</w:t>
            </w:r>
          </w:p>
          <w:p>
            <w:pPr>
              <w:pStyle w:val="null3"/>
            </w:pPr>
            <w:r>
              <w:rPr>
                <w:rFonts w:ascii="仿宋_GB2312" w:hAnsi="仿宋_GB2312" w:cs="仿宋_GB2312" w:eastAsia="仿宋_GB2312"/>
              </w:rPr>
              <w:t>（</w:t>
            </w:r>
            <w:r>
              <w:rPr>
                <w:rFonts w:ascii="仿宋_GB2312" w:hAnsi="仿宋_GB2312" w:cs="仿宋_GB2312" w:eastAsia="仿宋_GB2312"/>
              </w:rPr>
              <w:t>2）视频包装、特效制作</w:t>
            </w:r>
          </w:p>
          <w:p>
            <w:pPr>
              <w:pStyle w:val="null3"/>
            </w:pPr>
            <w:r>
              <w:rPr>
                <w:rFonts w:ascii="仿宋_GB2312" w:hAnsi="仿宋_GB2312" w:cs="仿宋_GB2312" w:eastAsia="仿宋_GB2312"/>
              </w:rPr>
              <w:t>（</w:t>
            </w:r>
            <w:r>
              <w:rPr>
                <w:rFonts w:ascii="仿宋_GB2312" w:hAnsi="仿宋_GB2312" w:cs="仿宋_GB2312" w:eastAsia="仿宋_GB2312"/>
              </w:rPr>
              <w:t>3） 配音、补拍、字幕等</w:t>
            </w:r>
          </w:p>
          <w:p>
            <w:pPr>
              <w:pStyle w:val="null3"/>
            </w:pPr>
            <w:r>
              <w:rPr>
                <w:rFonts w:ascii="仿宋_GB2312" w:hAnsi="仿宋_GB2312" w:cs="仿宋_GB2312" w:eastAsia="仿宋_GB2312"/>
              </w:rPr>
              <w:t>5. 《西安美术史》图片数字化处理</w:t>
            </w:r>
            <w:r>
              <w:rPr>
                <w:rFonts w:ascii="仿宋_GB2312" w:hAnsi="仿宋_GB2312" w:cs="仿宋_GB2312" w:eastAsia="仿宋_GB2312"/>
              </w:rPr>
              <w:t>及购买版权</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1）图片数字化转录：</w:t>
            </w:r>
            <w:r>
              <w:rPr>
                <w:rFonts w:ascii="仿宋_GB2312" w:hAnsi="仿宋_GB2312" w:cs="仿宋_GB2312" w:eastAsia="仿宋_GB2312"/>
              </w:rPr>
              <w:t>预计</w:t>
            </w:r>
            <w:r>
              <w:rPr>
                <w:rFonts w:ascii="仿宋_GB2312" w:hAnsi="仿宋_GB2312" w:cs="仿宋_GB2312" w:eastAsia="仿宋_GB2312"/>
              </w:rPr>
              <w:t>1500张</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2）图片调整、修图：</w:t>
            </w:r>
            <w:r>
              <w:rPr>
                <w:rFonts w:ascii="仿宋_GB2312" w:hAnsi="仿宋_GB2312" w:cs="仿宋_GB2312" w:eastAsia="仿宋_GB2312"/>
              </w:rPr>
              <w:t>预计</w:t>
            </w:r>
            <w:r>
              <w:rPr>
                <w:rFonts w:ascii="仿宋_GB2312" w:hAnsi="仿宋_GB2312" w:cs="仿宋_GB2312" w:eastAsia="仿宋_GB2312"/>
              </w:rPr>
              <w:t>1500张；</w:t>
            </w:r>
          </w:p>
          <w:p>
            <w:pPr>
              <w:pStyle w:val="null3"/>
            </w:pPr>
            <w:r>
              <w:rPr>
                <w:rFonts w:ascii="仿宋_GB2312" w:hAnsi="仿宋_GB2312" w:cs="仿宋_GB2312" w:eastAsia="仿宋_GB2312"/>
              </w:rPr>
              <w:t>（</w:t>
            </w:r>
            <w:r>
              <w:rPr>
                <w:rFonts w:ascii="仿宋_GB2312" w:hAnsi="仿宋_GB2312" w:cs="仿宋_GB2312" w:eastAsia="仿宋_GB2312"/>
              </w:rPr>
              <w:t>3）图片版权费；</w:t>
            </w:r>
          </w:p>
          <w:p>
            <w:pPr>
              <w:pStyle w:val="null3"/>
            </w:pPr>
            <w:r>
              <w:rPr>
                <w:rFonts w:ascii="仿宋_GB2312" w:hAnsi="仿宋_GB2312" w:cs="仿宋_GB2312" w:eastAsia="仿宋_GB2312"/>
              </w:rPr>
              <w:t>6. 《西安美术史》设计、排版、装帧设计（1300页）；</w:t>
            </w:r>
          </w:p>
          <w:p>
            <w:pPr>
              <w:pStyle w:val="null3"/>
            </w:pPr>
            <w:r>
              <w:rPr>
                <w:rFonts w:ascii="仿宋_GB2312" w:hAnsi="仿宋_GB2312" w:cs="仿宋_GB2312" w:eastAsia="仿宋_GB2312"/>
              </w:rPr>
              <w:t>（</w:t>
            </w:r>
            <w:r>
              <w:rPr>
                <w:rFonts w:ascii="仿宋_GB2312" w:hAnsi="仿宋_GB2312" w:cs="仿宋_GB2312" w:eastAsia="仿宋_GB2312"/>
              </w:rPr>
              <w:t>1）设计、排版</w:t>
            </w:r>
          </w:p>
          <w:p>
            <w:pPr>
              <w:pStyle w:val="null3"/>
            </w:pPr>
            <w:r>
              <w:rPr>
                <w:rFonts w:ascii="仿宋_GB2312" w:hAnsi="仿宋_GB2312" w:cs="仿宋_GB2312" w:eastAsia="仿宋_GB2312"/>
              </w:rPr>
              <w:t>（</w:t>
            </w:r>
            <w:r>
              <w:rPr>
                <w:rFonts w:ascii="仿宋_GB2312" w:hAnsi="仿宋_GB2312" w:cs="仿宋_GB2312" w:eastAsia="仿宋_GB2312"/>
              </w:rPr>
              <w:t xml:space="preserve">2） 书籍装帧设计    </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《西安美术史》出版、编校服务（</w:t>
            </w:r>
            <w:r>
              <w:rPr>
                <w:rFonts w:ascii="仿宋_GB2312" w:hAnsi="仿宋_GB2312" w:cs="仿宋_GB2312" w:eastAsia="仿宋_GB2312"/>
              </w:rPr>
              <w:t>100万字图文、三审三校）；</w:t>
            </w:r>
          </w:p>
          <w:p>
            <w:pPr>
              <w:pStyle w:val="null3"/>
            </w:pPr>
            <w:r>
              <w:rPr>
                <w:rFonts w:ascii="仿宋_GB2312" w:hAnsi="仿宋_GB2312" w:cs="仿宋_GB2312" w:eastAsia="仿宋_GB2312"/>
              </w:rPr>
              <w:t>出版服务</w:t>
            </w:r>
            <w:r>
              <w:rPr>
                <w:rFonts w:ascii="仿宋_GB2312" w:hAnsi="仿宋_GB2312" w:cs="仿宋_GB2312" w:eastAsia="仿宋_GB2312"/>
              </w:rPr>
              <w:t>；</w:t>
            </w:r>
          </w:p>
          <w:p>
            <w:pPr>
              <w:pStyle w:val="null3"/>
            </w:pPr>
            <w:r>
              <w:rPr>
                <w:rFonts w:ascii="仿宋_GB2312" w:hAnsi="仿宋_GB2312" w:cs="仿宋_GB2312" w:eastAsia="仿宋_GB2312"/>
              </w:rPr>
              <w:t>编校</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《西安美术史》印刷费用（上下册、两册配套装书函、</w:t>
            </w:r>
            <w:r>
              <w:rPr>
                <w:rFonts w:ascii="仿宋_GB2312" w:hAnsi="仿宋_GB2312" w:cs="仿宋_GB2312" w:eastAsia="仿宋_GB2312"/>
              </w:rPr>
              <w:t>2000套）；</w:t>
            </w:r>
          </w:p>
          <w:p>
            <w:pPr>
              <w:pStyle w:val="null3"/>
            </w:pPr>
            <w:r>
              <w:rPr>
                <w:rFonts w:ascii="仿宋_GB2312" w:hAnsi="仿宋_GB2312" w:cs="仿宋_GB2312" w:eastAsia="仿宋_GB2312"/>
              </w:rPr>
              <w:t>（</w:t>
            </w:r>
            <w:r>
              <w:rPr>
                <w:rFonts w:ascii="仿宋_GB2312" w:hAnsi="仿宋_GB2312" w:cs="仿宋_GB2312" w:eastAsia="仿宋_GB2312"/>
              </w:rPr>
              <w:t>1） 材料：内文、封面、环衬、书函及内外裱、堵头丝带、护封</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2）印刷：</w:t>
            </w:r>
          </w:p>
          <w:p>
            <w:pPr>
              <w:pStyle w:val="null3"/>
            </w:pPr>
            <w:r>
              <w:rPr>
                <w:rFonts w:ascii="仿宋_GB2312" w:hAnsi="仿宋_GB2312" w:cs="仿宋_GB2312" w:eastAsia="仿宋_GB2312"/>
              </w:rPr>
              <w:t>内文品晒、内文印刷、护封品晒、护封印刷、封面丝网印、书函丝网印、不干胶印刷</w:t>
            </w:r>
          </w:p>
          <w:p>
            <w:pPr>
              <w:pStyle w:val="null3"/>
            </w:pPr>
            <w:r>
              <w:rPr>
                <w:rFonts w:ascii="仿宋_GB2312" w:hAnsi="仿宋_GB2312" w:cs="仿宋_GB2312" w:eastAsia="仿宋_GB2312"/>
              </w:rPr>
              <w:t>（</w:t>
            </w:r>
            <w:r>
              <w:rPr>
                <w:rFonts w:ascii="仿宋_GB2312" w:hAnsi="仿宋_GB2312" w:cs="仿宋_GB2312" w:eastAsia="仿宋_GB2312"/>
              </w:rPr>
              <w:t>3）装订：</w:t>
            </w:r>
          </w:p>
          <w:p>
            <w:pPr>
              <w:pStyle w:val="null3"/>
            </w:pPr>
            <w:r>
              <w:rPr>
                <w:rFonts w:ascii="仿宋_GB2312" w:hAnsi="仿宋_GB2312" w:cs="仿宋_GB2312" w:eastAsia="仿宋_GB2312"/>
              </w:rPr>
              <w:t>折配、精装拔圆上书、粘前后环衬、护封工艺、护封卡型封面烫金、封面压凹、书函工艺、书函模切粘手工加工、装书函、塑封</w:t>
            </w:r>
            <w:r>
              <w:rPr>
                <w:rFonts w:ascii="仿宋_GB2312" w:hAnsi="仿宋_GB2312" w:cs="仿宋_GB2312" w:eastAsia="仿宋_GB2312"/>
              </w:rPr>
              <w:t>+纸箱成本+运输成本</w:t>
            </w: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完成后，供应商向采购人申请验收，组织采购人相关人员和专家组成的验收小组对项目进行最终验收。验收依据为本合同文本、采购文件、主管部门印发的规范性文件和国内相应的标准、规范。验收合格后，采购人填写终验验收单。验收不合格的，限期整改，整改过程中产生的费用和货物发生的一切损失由供应商承担；整改超过二次的，采购人有权单方解除本合同，供应商应无条件退还已收取的全部合同价款，并按合同总价10%向采购人支付违约金，违约金不足弥补采购人损失的，由供应商负责赔偿。</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合同履行过程中乙方提交与进度匹配的70%，经甲方确认后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乙方履行完合同约定全部义务并经甲方确认无误后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具有独立承担民事责任能力的法人、其他组织或自然人，并出具合法有效的营业执照等国家规定的相关证明，自然人参与的提供其身份证明（提供复印件加盖公章）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供应商应授权合法的人员参加采购活动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报表（至少包括资产负债表和利润表，成立时间至提交磋商响应文件递交截止时间不足一年的可提供成立后任意时段的资产负债表），或其基本存款账户开户银行出具的资信证明（附开户许可证或开户备案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没有重大违法记录书面声明</w:t>
            </w:r>
          </w:p>
        </w:tc>
        <w:tc>
          <w:tcPr>
            <w:tcW w:type="dxa" w:w="3322"/>
          </w:tcPr>
          <w:p>
            <w:pPr>
              <w:pStyle w:val="null3"/>
            </w:pPr>
            <w:r>
              <w:rPr>
                <w:rFonts w:ascii="仿宋_GB2312" w:hAnsi="仿宋_GB2312" w:cs="仿宋_GB2312" w:eastAsia="仿宋_GB2312"/>
              </w:rPr>
              <w:t>参加政府采购活动近三年内，在经营活动中没有重大违法记录书面声明（加盖公章）；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对项目理解及 认识</w:t>
            </w:r>
          </w:p>
        </w:tc>
        <w:tc>
          <w:tcPr>
            <w:tcW w:type="dxa" w:w="2492"/>
          </w:tcPr>
          <w:p>
            <w:pPr>
              <w:pStyle w:val="null3"/>
            </w:pPr>
            <w:r>
              <w:rPr>
                <w:rFonts w:ascii="仿宋_GB2312" w:hAnsi="仿宋_GB2312" w:cs="仿宋_GB2312" w:eastAsia="仿宋_GB2312"/>
              </w:rPr>
              <w:t>根据对项目需求的理解程度、认识程度、了解程度和拟定成果目标对采购要求的符合程度进行评价:对项目需求、现状的认识全面、清晰、完全满足采购需求的得7-10分；对项目需求、现状的认识较全面、较清晰、基本满足采购需求的得4-7分；对项目需求、现状的认识欠缺、薄弱、不满足采购需求的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编撰方案</w:t>
            </w:r>
          </w:p>
        </w:tc>
        <w:tc>
          <w:tcPr>
            <w:tcW w:type="dxa" w:w="2492"/>
          </w:tcPr>
          <w:p>
            <w:pPr>
              <w:pStyle w:val="null3"/>
            </w:pPr>
            <w:r>
              <w:rPr>
                <w:rFonts w:ascii="仿宋_GB2312" w:hAnsi="仿宋_GB2312" w:cs="仿宋_GB2312" w:eastAsia="仿宋_GB2312"/>
              </w:rPr>
              <w:t>编撰方案内容全面完整、清晰、重点突出，完全满足采购需求的得7-10分:编撰方案内容较完整、合理，基本满足采购需求的得4-7分；编撰方案一般可行的得1-4分；未提供不得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编撰进度</w:t>
            </w:r>
          </w:p>
        </w:tc>
        <w:tc>
          <w:tcPr>
            <w:tcW w:type="dxa" w:w="2492"/>
          </w:tcPr>
          <w:p>
            <w:pPr>
              <w:pStyle w:val="null3"/>
            </w:pPr>
            <w:r>
              <w:rPr>
                <w:rFonts w:ascii="仿宋_GB2312" w:hAnsi="仿宋_GB2312" w:cs="仿宋_GB2312" w:eastAsia="仿宋_GB2312"/>
              </w:rPr>
              <w:t>编制进度计划详细、完整、合理、高效的得7-10分；编制进度计划较详细、完整、合理的得4-7分；进度计划不详细、完整、合理的得1-4分；未提供不得分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对项目的服务质量保障进行承诺，并提出对有利于本项目顺利开展的措施、建议。服务质量保障承诺、措施、建议完善、合理得6-10分；服务质量保障承诺、措施、建议较完善、合理得1-6分；未提供不得分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1、项目负责人具备美术行业相关专业副教授以上职称，得2分； 2、团队成员具备中国作协证的每个得1分，满分2分； 3、团队成员具备编辑证或采编证每个得1分，满分2分； 4、团队成员具备美术行业相关专业副教授以上职称的每个得2分，满分4分； 5、根据供应商拟投入本项目的团队实力、人员配备、职责分工是否满足本项目的信息采集、收纳、改稿、核对、编排等需求进行横向对比，自主赋分得0-10分 以上须提供职称证书或资格证书等有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售后服务方案具体、可行，有详细的售后服务措施、响应时间及承诺和二次编撰保障措施的得5-10分，不完整或有缺陷的得1-5分；未提供不得分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2022年1月至今完成类似项目业绩，有1项得2.5分；每增加1项，加2.5分，最高得10分（以合同协议书或中标通知书为准）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