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版本号：RH采字【20250506】号20250529001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集约送达服务项目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RH采字【20250506】号</w:t>
      </w:r>
      <w:r>
        <w:br/>
      </w:r>
      <w:r>
        <w:br/>
      </w:r>
      <w:r>
        <w:br/>
      </w:r>
    </w:p>
    <w:p>
      <w:pPr>
        <w:pStyle w:val="null3"/>
        <w:jc w:val="center"/>
        <w:outlineLvl w:val="5"/>
      </w:pPr>
      <w:r>
        <w:rPr>
          <w:rFonts w:ascii="仿宋_GB2312" w:hAnsi="仿宋_GB2312" w:cs="仿宋_GB2312" w:eastAsia="仿宋_GB2312"/>
          <w:sz w:val="15"/>
          <w:b/>
        </w:rPr>
        <w:t>西安市碑林区人民法院[154]</w:t>
      </w:r>
    </w:p>
    <w:p>
      <w:pPr>
        <w:pStyle w:val="null3"/>
        <w:jc w:val="center"/>
        <w:outlineLvl w:val="5"/>
      </w:pPr>
      <w:r>
        <w:rPr>
          <w:rFonts w:ascii="仿宋_GB2312" w:hAnsi="仿宋_GB2312" w:cs="仿宋_GB2312" w:eastAsia="仿宋_GB2312"/>
          <w:sz w:val="15"/>
          <w:b/>
        </w:rPr>
        <w:t>瑞恒项目管理有限公司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西安市碑林区人民法院[154]</w:t>
      </w:r>
      <w:r>
        <w:rPr>
          <w:rFonts w:ascii="仿宋_GB2312" w:hAnsi="仿宋_GB2312" w:cs="仿宋_GB2312" w:eastAsia="仿宋_GB2312"/>
        </w:rPr>
        <w:t>委托，拟对</w:t>
      </w:r>
      <w:r>
        <w:rPr>
          <w:rFonts w:ascii="仿宋_GB2312" w:hAnsi="仿宋_GB2312" w:cs="仿宋_GB2312" w:eastAsia="仿宋_GB2312"/>
        </w:rPr>
        <w:t>集约送达服务项目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RH采字【20250506】号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集约送达服务项目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进一步优化资源配置，增强审判质效，提升便民服务水平，在诉讼服务中心成立集约送达中心，并使用社会化服务，集约送达中心按照法院审判人员指令完成法律文书的全流程送达。</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1、营业执照：在中华人民共和国境内注册，依法取得并有效存续的营业执照（含电子营业执照）\事业单位法人证书\民办非企业单位登记证书\非企业专业服务机构执业许可\自然人的提供身份证明文件；</w:t>
      </w:r>
    </w:p>
    <w:p>
      <w:pPr>
        <w:pStyle w:val="null3"/>
      </w:pPr>
      <w:r>
        <w:rPr>
          <w:rFonts w:ascii="仿宋_GB2312" w:hAnsi="仿宋_GB2312" w:cs="仿宋_GB2312" w:eastAsia="仿宋_GB2312"/>
        </w:rPr>
        <w:t>2、财务状况证明：（三种形式的资料提供任何一种即可）（1）提供2023年或2024年财务审计报告（成立时间至响应文件递交截至时间不足一年的可提供成立后任意时段的资产负债表）；（2）提供基本存款账户信息及响应文件递交截至日期前三个月内其基本存款账户开户银行出具的资信证明；（3）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3、税收缴纳证明：提供响应文件提交截止时间一年内至少一个月的纳税证明或完税证明（任意税种）</w:t>
      </w:r>
    </w:p>
    <w:p>
      <w:pPr>
        <w:pStyle w:val="null3"/>
      </w:pPr>
      <w:r>
        <w:rPr>
          <w:rFonts w:ascii="仿宋_GB2312" w:hAnsi="仿宋_GB2312" w:cs="仿宋_GB2312" w:eastAsia="仿宋_GB2312"/>
        </w:rPr>
        <w:t>4、社保资金缴纳证明：供响应文件提交截止时间一年内至少一个月的社会保障资金缴存单据或社保机构开具的社会保险参保缴费情况证明；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无失信记录证明：供应商未被“信用中国”（www.creditchina.gov.cn）列入重大税收违法失信主体；未被“中国执行信息公开网”（zxgk.court.gov.cn）列入失信被执行人名单；未被“中国政府采购网”（www.ccgp.gov.cn）列入政府采购严重违法失信行为记录名单；</w:t>
      </w:r>
    </w:p>
    <w:p>
      <w:pPr>
        <w:pStyle w:val="null3"/>
      </w:pPr>
      <w:r>
        <w:rPr>
          <w:rFonts w:ascii="仿宋_GB2312" w:hAnsi="仿宋_GB2312" w:cs="仿宋_GB2312" w:eastAsia="仿宋_GB2312"/>
        </w:rPr>
        <w:t>6、设备、技术能力书面声明：提供具有履行合同所必需的设备和专业技术能力书面声明函；</w:t>
      </w:r>
    </w:p>
    <w:p>
      <w:pPr>
        <w:pStyle w:val="null3"/>
      </w:pPr>
      <w:r>
        <w:rPr>
          <w:rFonts w:ascii="仿宋_GB2312" w:hAnsi="仿宋_GB2312" w:cs="仿宋_GB2312" w:eastAsia="仿宋_GB2312"/>
        </w:rPr>
        <w:t>7、参加政府采购活动承诺：参加政府采购活动前三年内，在经营活动中没有重大违法记录。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西安市碑林区人民法院[154]</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西安市碑林区太白北路6号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029-84500828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刘菲、刘轩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采购包1：2,025,000.00元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采购包1：2,025,000.00元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代理服务费收费标准：参考国家计委颁发的《招标代理服务收费管理暂行办法》（计价格[2002]1980号）文件收取。 代理服务费缴纳及账户信息：（转账汇款时请注明“RH采字【2025****】号”）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西安市碑林区人民法院[154]</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西安市碑林区人民法院[154]</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按照采购文件、响应文件及合同约定的技术内容进行验收。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进一步优化资源配置，增强审判质效，提升便民服务水平，在诉讼服务中心成立集约送达中心，并使用社会化服务，集约送达中心按照法院审判人员指令完成法律文书的全流程送达。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2,025,000.00</w:t>
      </w:r>
    </w:p>
    <w:p>
      <w:pPr>
        <w:pStyle w:val="null3"/>
      </w:pPr>
      <w:r>
        <w:rPr>
          <w:rFonts w:ascii="仿宋_GB2312" w:hAnsi="仿宋_GB2312" w:cs="仿宋_GB2312" w:eastAsia="仿宋_GB2312"/>
        </w:rPr>
        <w:t>采购包最高限价（元）: 2,025,000.00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集约送达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2,025,000.00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邮政业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标的名称：集约送达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采购内容及要求</w:t>
            </w:r>
          </w:p>
          <w:p>
            <w:pPr>
              <w:pStyle w:val="null3"/>
              <w:jc w:val="both"/>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为进一步优化资源配置，增强审判质效，提升便民服务水平，将在诉讼服务中心成立集约送达中心，并使用社会化服务，集约送达中心按照法院审判人员指令完成法律文书的全流程送达。</w:t>
            </w:r>
          </w:p>
          <w:p>
            <w:pPr>
              <w:pStyle w:val="null3"/>
              <w:jc w:val="both"/>
            </w:pPr>
            <w:r>
              <w:rPr>
                <w:rFonts w:ascii="仿宋_GB2312" w:hAnsi="仿宋_GB2312" w:cs="仿宋_GB2312" w:eastAsia="仿宋_GB2312"/>
                <w:sz w:val="24"/>
                <w:b/>
              </w:rPr>
              <w:t>二、项目内容</w:t>
            </w:r>
          </w:p>
          <w:p>
            <w:pPr>
              <w:pStyle w:val="null3"/>
              <w:ind w:firstLine="480"/>
              <w:jc w:val="both"/>
            </w:pPr>
            <w:r>
              <w:rPr>
                <w:rFonts w:ascii="仿宋_GB2312" w:hAnsi="仿宋_GB2312" w:cs="仿宋_GB2312" w:eastAsia="仿宋_GB2312"/>
                <w:sz w:val="24"/>
              </w:rPr>
              <w:t>集约送达业务范围涵盖民事、行政、国家赔偿和执行等全部案件各类文书的线上线下送达、司法专递、退件等，通过集约送达平台在人民法院与诉讼当事人之间实现安全的信息和数据交互，以不同形式进行案件材料的文书送达工作。集约送达涵盖案件全流程的法律文书送达，报价形式为固定总价，供应商报价为提供服务</w:t>
            </w:r>
            <w:r>
              <w:rPr>
                <w:rFonts w:ascii="仿宋_GB2312" w:hAnsi="仿宋_GB2312" w:cs="仿宋_GB2312" w:eastAsia="仿宋_GB2312"/>
                <w:sz w:val="24"/>
              </w:rPr>
              <w:t>1</w:t>
            </w:r>
            <w:r>
              <w:rPr>
                <w:rFonts w:ascii="仿宋_GB2312" w:hAnsi="仿宋_GB2312" w:cs="仿宋_GB2312" w:eastAsia="仿宋_GB2312"/>
                <w:sz w:val="24"/>
              </w:rPr>
              <w:t>年内的</w:t>
            </w:r>
            <w:r>
              <w:rPr>
                <w:rFonts w:ascii="仿宋_GB2312" w:hAnsi="仿宋_GB2312" w:cs="仿宋_GB2312" w:eastAsia="仿宋_GB2312"/>
                <w:sz w:val="24"/>
              </w:rPr>
              <w:t>全部费用。</w:t>
            </w:r>
          </w:p>
          <w:p>
            <w:pPr>
              <w:pStyle w:val="null3"/>
              <w:jc w:val="both"/>
            </w:pPr>
            <w:r>
              <w:rPr>
                <w:rFonts w:ascii="仿宋_GB2312" w:hAnsi="仿宋_GB2312" w:cs="仿宋_GB2312" w:eastAsia="仿宋_GB2312"/>
                <w:sz w:val="24"/>
                <w:b/>
              </w:rPr>
              <w:t>三、项目要求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送达审核。集约送达中心在接收到送达任务后要认真审核，重点关注送达环节及备注情况，合理分配线上、线下送达，不符合要求及时退回并说明理由。</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电子送达。按照《陕西省高级人民法院关于电子送达与集中送达的若干规定（试行）》进行电子送达。使用送达平台送达文书和诉讼活动总量应符合人民法院诉讼服务质效评估体系指标要求。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外出送达。集约送达中心接到外出送达任务后，中标供应商应当提供外出送达车辆，由集约送达中心人员协助法院工作人员将诉讼文书当面送交受送达人。集约送达中心可通过微信小程序对外出送达工作进行跟踪管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来院领取。根据电话联系情况，如受送达人同意来院领取，集约送达中心以派发工单的形式，将需送达诉讼文书打印后送至诉讼服务大厅材料收转窗口，并告知受送达人</w:t>
            </w:r>
            <w:r>
              <w:rPr>
                <w:rFonts w:ascii="仿宋_GB2312" w:hAnsi="仿宋_GB2312" w:cs="仿宋_GB2312" w:eastAsia="仿宋_GB2312"/>
                <w:sz w:val="24"/>
              </w:rPr>
              <w:t>7</w:t>
            </w:r>
            <w:r>
              <w:rPr>
                <w:rFonts w:ascii="仿宋_GB2312" w:hAnsi="仿宋_GB2312" w:cs="仿宋_GB2312" w:eastAsia="仿宋_GB2312"/>
                <w:sz w:val="24"/>
              </w:rPr>
              <w:t>日内凭相关证明材料到人民法院窗口领取。</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邮寄送达和邮政集约送达。集约送达中心在受送达人或者法官、书记员不同意采用电子送达的情况下，方可采用邮寄送达，邮寄送达需采用邮政法院专递，并采用“五日三投”（五日内投放三次，至少有一次为晚上</w:t>
            </w:r>
            <w:r>
              <w:rPr>
                <w:rFonts w:ascii="仿宋_GB2312" w:hAnsi="仿宋_GB2312" w:cs="仿宋_GB2312" w:eastAsia="仿宋_GB2312"/>
                <w:sz w:val="24"/>
              </w:rPr>
              <w:t>18</w:t>
            </w:r>
            <w:r>
              <w:rPr>
                <w:rFonts w:ascii="仿宋_GB2312" w:hAnsi="仿宋_GB2312" w:cs="仿宋_GB2312" w:eastAsia="仿宋_GB2312"/>
                <w:sz w:val="24"/>
              </w:rPr>
              <w:t>时之后或周六、日）方式送达。邮寄送达首选邮政集约送达，即异地打印、同城送达。</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数据整理。做好集约送达中心各项数据汇总、统计、分析，定期通报集约送达平台运行情况。</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其他事项。服从采购方管理，积极主动承办采购方交办的其他工作。</w:t>
            </w:r>
          </w:p>
          <w:p>
            <w:pPr>
              <w:pStyle w:val="null3"/>
              <w:jc w:val="both"/>
            </w:pPr>
            <w:r>
              <w:rPr>
                <w:rFonts w:ascii="仿宋_GB2312" w:hAnsi="仿宋_GB2312" w:cs="仿宋_GB2312" w:eastAsia="仿宋_GB2312"/>
                <w:sz w:val="24"/>
                <w:b/>
              </w:rPr>
              <w:t>四、项目指标</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使用送达平台送达文书和诉讼活动通知的总量与受理案件总量比不低于</w:t>
            </w:r>
            <w:r>
              <w:rPr>
                <w:rFonts w:ascii="仿宋_GB2312" w:hAnsi="仿宋_GB2312" w:cs="仿宋_GB2312" w:eastAsia="仿宋_GB2312"/>
                <w:sz w:val="24"/>
              </w:rPr>
              <w:t>200%</w:t>
            </w:r>
            <w:r>
              <w:rPr>
                <w:rFonts w:ascii="仿宋_GB2312" w:hAnsi="仿宋_GB2312" w:cs="仿宋_GB2312" w:eastAsia="仿宋_GB2312"/>
                <w:sz w:val="24"/>
              </w:rPr>
              <w:t>，每一次送达任务中每个受送达人的文书数量都计算在内。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使用邮政集约送达的案件数量与邮寄送达案件数量比不低于</w:t>
            </w:r>
            <w:r>
              <w:rPr>
                <w:rFonts w:ascii="仿宋_GB2312" w:hAnsi="仿宋_GB2312" w:cs="仿宋_GB2312" w:eastAsia="仿宋_GB2312"/>
                <w:sz w:val="24"/>
              </w:rPr>
              <w:t>80%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电子送达成功率。电子送达成功率（符合线上送达任务）每月不低于</w:t>
            </w:r>
            <w:r>
              <w:rPr>
                <w:rFonts w:ascii="仿宋_GB2312" w:hAnsi="仿宋_GB2312" w:cs="仿宋_GB2312" w:eastAsia="仿宋_GB2312"/>
                <w:sz w:val="24"/>
              </w:rPr>
              <w:t>80%</w:t>
            </w:r>
            <w:r>
              <w:rPr>
                <w:rFonts w:ascii="仿宋_GB2312" w:hAnsi="仿宋_GB2312" w:cs="仿宋_GB2312" w:eastAsia="仿宋_GB2312"/>
                <w:sz w:val="24"/>
              </w:rPr>
              <w:t>，每低于</w:t>
            </w:r>
            <w:r>
              <w:rPr>
                <w:rFonts w:ascii="仿宋_GB2312" w:hAnsi="仿宋_GB2312" w:cs="仿宋_GB2312" w:eastAsia="仿宋_GB2312"/>
                <w:sz w:val="24"/>
              </w:rPr>
              <w:t>1</w:t>
            </w:r>
            <w:r>
              <w:rPr>
                <w:rFonts w:ascii="仿宋_GB2312" w:hAnsi="仿宋_GB2312" w:cs="仿宋_GB2312" w:eastAsia="仿宋_GB2312"/>
                <w:sz w:val="24"/>
              </w:rPr>
              <w:t>个点扣减当月服务费用</w:t>
            </w:r>
            <w:r>
              <w:rPr>
                <w:rFonts w:ascii="仿宋_GB2312" w:hAnsi="仿宋_GB2312" w:cs="仿宋_GB2312" w:eastAsia="仿宋_GB2312"/>
                <w:sz w:val="24"/>
              </w:rPr>
              <w:t>2</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案件。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邮寄妥投率。在提供的收件人姓名、电话、地址准确的情况下，邮件妥投率达</w:t>
            </w:r>
            <w:r>
              <w:rPr>
                <w:rFonts w:ascii="仿宋_GB2312" w:hAnsi="仿宋_GB2312" w:cs="仿宋_GB2312" w:eastAsia="仿宋_GB2312"/>
                <w:sz w:val="24"/>
              </w:rPr>
              <w:t>100%</w:t>
            </w:r>
            <w:r>
              <w:rPr>
                <w:rFonts w:ascii="仿宋_GB2312" w:hAnsi="仿宋_GB2312" w:cs="仿宋_GB2312" w:eastAsia="仿宋_GB2312"/>
                <w:sz w:val="24"/>
              </w:rPr>
              <w:t>。如发生采购人提供的收件人姓名、电话、地址准确的情况下，未能妥投经核实后，扣减</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开展集约送达后，供应商应确保民事、行政、国家赔偿和执行案件各类文书通过集约送达平台（特殊情况须经采购方允许方可）流转，严禁出现未经集约送达平台直接邮寄（导致双向收费），采购方每发现一次扣</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件。</w:t>
            </w:r>
          </w:p>
          <w:p>
            <w:pPr>
              <w:pStyle w:val="null3"/>
              <w:jc w:val="both"/>
            </w:pPr>
            <w:r>
              <w:rPr>
                <w:rFonts w:ascii="仿宋_GB2312" w:hAnsi="仿宋_GB2312" w:cs="仿宋_GB2312" w:eastAsia="仿宋_GB2312"/>
                <w:sz w:val="24"/>
                <w:b/>
              </w:rPr>
              <w:t>五、保密要求</w:t>
            </w:r>
          </w:p>
          <w:p>
            <w:pPr>
              <w:pStyle w:val="null3"/>
              <w:ind w:firstLine="480"/>
              <w:jc w:val="both"/>
            </w:pPr>
            <w:r>
              <w:rPr>
                <w:rFonts w:ascii="仿宋_GB2312" w:hAnsi="仿宋_GB2312" w:cs="仿宋_GB2312" w:eastAsia="仿宋_GB2312"/>
                <w:sz w:val="24"/>
              </w:rPr>
              <w:t>集约送达员应遵守法院相关保密规定，对于工作中知悉、接触的案件信息和送达材料，应当保守秘密。未经许可，不得私自接触、获取工作范围外的数据信息，不得擅自拍摄、复制、记录、摘抄法院相关数据资料。不透露、不议论评价当事人或公众来电信息，不得随意泄露办案人员个人基本信息，不从事与工作无关的其他活动。</w:t>
            </w:r>
          </w:p>
          <w:p>
            <w:pPr>
              <w:pStyle w:val="null3"/>
              <w:ind w:firstLine="480"/>
              <w:jc w:val="both"/>
            </w:pPr>
            <w:r>
              <w:rPr>
                <w:rFonts w:ascii="仿宋_GB2312" w:hAnsi="仿宋_GB2312" w:cs="仿宋_GB2312" w:eastAsia="仿宋_GB2312"/>
                <w:sz w:val="24"/>
              </w:rPr>
              <w:t>供应商对集约送达工作人员工作中因供应商一方涉及的安全保密问题承担责任。</w:t>
            </w:r>
          </w:p>
          <w:p>
            <w:pPr>
              <w:pStyle w:val="null3"/>
              <w:jc w:val="both"/>
            </w:pPr>
            <w:r>
              <w:rPr>
                <w:rFonts w:ascii="仿宋_GB2312" w:hAnsi="仿宋_GB2312" w:cs="仿宋_GB2312" w:eastAsia="仿宋_GB2312"/>
                <w:sz w:val="24"/>
                <w:b/>
              </w:rPr>
              <w:t>六、技术要求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计算机、送达平台等软硬件保障。服务提供商需按照送达业务量配置包括但不限于计算机终端、服务器、票据打印机、高拍仪、扫描仪、条码枪、程控电话录音平台、送达平台软件等软硬件设备，完全满足最高法院和中级法院对集约送达的要求；提供内外网数据交互所需光闸和配套请求服务器，与审判、执行等系统进行对接，获取案件相关送达信息，实现案件和当事人信息数据共享互通；电话通知后自动获取通话信息及录音，通话信息及录音直接入卷，实现内网存储；接入法院内网用以接收法院送达信息的计算机应做到专机专用，不得与其他网系混用，出现故障送修前，需拆卸硬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受送达人地址电话查询。对于未提供受送达当事人联系方式和通讯地址的，服务提供商应综合运用各种合法途径查询有关信息，包括但不限于服务提供商自身掌握的地址库数据、与三大运营商对接获取的数据等，并建立送达成功地址库。</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集中送达配套保障。因开展送达业务产生的计算机、打印一体机、专用设备、打印纸张和耗材、电话（含来电显示）等费用由服务提供商承担。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信息安全保障。集中送达中心工作场地接入法院内网，需落实严格的网络信息安全防护措施，禁止使用</w:t>
            </w:r>
            <w:r>
              <w:rPr>
                <w:rFonts w:ascii="仿宋_GB2312" w:hAnsi="仿宋_GB2312" w:cs="仿宋_GB2312" w:eastAsia="仿宋_GB2312"/>
                <w:sz w:val="24"/>
              </w:rPr>
              <w:t>U</w:t>
            </w:r>
            <w:r>
              <w:rPr>
                <w:rFonts w:ascii="仿宋_GB2312" w:hAnsi="仿宋_GB2312" w:cs="仿宋_GB2312" w:eastAsia="仿宋_GB2312"/>
                <w:sz w:val="24"/>
              </w:rPr>
              <w:t>盘、光盘等存储媒介在不同网系之间拷贝数据，禁止使用照相器材拍摄办公计算机屏幕信息，服务提供商落实定期巡检制度。</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达到国家相关规范及采购人要求。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因履行本合同引起的或与本合同有关的争议，甲、乙双方应首先通过友好协商解决;如果协商不能解决争议，甲乙双方同意采取下列两种方式的第( 2 )种方式解决争议: (1)向甲方所在地有管辖权的人民法院提起诉讼，适用中华人民共和国法律; (2)向西安市仲裁委员会按其仲裁规则申请仲裁。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3.4.2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贰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1）提供2023年或2024年财务审计报告（成立时间至响应文件递交截至时间不足一年的可提供成立后任意时段的资产负债表）；（2）提供基本存款账户信息及响应文件递交截至日期前三个月内其基本存款账户开户银行出具的资信证明；（3）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提供响应文件提交截止时间一年内至少一个月的纳税证明或完税证明（任意税种）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无失信记录证明</w:t>
            </w:r>
          </w:p>
        </w:tc>
        <w:tc>
          <w:tcPr>
            <w:tcW w:type="dxa" w:w="3322"/>
          </w:tcPr>
          <w:p>
            <w:pPr>
              <w:pStyle w:val="null3"/>
            </w:pPr>
            <w:r>
              <w:rPr>
                <w:rFonts w:ascii="仿宋_GB2312" w:hAnsi="仿宋_GB2312" w:cs="仿宋_GB2312" w:eastAsia="仿宋_GB2312"/>
              </w:rPr>
              <w:t>供应商未被“信用中国”（www.creditchina.gov.cn）列入重大税收违法失信主体；未被“中国执行信息公开网”（zxgk.court.gov.cn）列入失信被执行人名单；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参加政府采购活动承诺</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协商的，须出具法定代表人（负责人）身份证明书及身份证正反两面扫描件或护照资料页扫描件；法定代表人（负责人）授权委托代理人参加协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项目名称、项目编号、采购包与本项目完全一致</w:t>
            </w:r>
          </w:p>
        </w:tc>
        <w:tc>
          <w:tcPr>
            <w:tcW w:type="dxa" w:w="1661"/>
          </w:tcPr>
          <w:p>
            <w:pPr>
              <w:pStyle w:val="null3"/>
            </w:pPr>
            <w:r>
              <w:rPr>
                <w:rFonts w:ascii="仿宋_GB2312" w:hAnsi="仿宋_GB2312" w:cs="仿宋_GB2312" w:eastAsia="仿宋_GB2312"/>
              </w:rPr>
              <w:t>响应文件封面 法定代表人身份证明书及授权委托书 中小企业声明函 残疾人福利性单位声明函 商务应答表 服务方案 标的清单 供应商应提交的相关资格证明材料 服务内容及服务要求应答表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响应文件有效期满足单一来源采购文件的要求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完全理解并响应单一来源采购文件合同及其它条款的要求，且未含有采购人不能接受的附加条件的。</w:t>
            </w:r>
          </w:p>
        </w:tc>
        <w:tc>
          <w:tcPr>
            <w:tcW w:type="dxa" w:w="1661"/>
          </w:tcPr>
          <w:p>
            <w:pPr>
              <w:pStyle w:val="null3"/>
            </w:pPr>
            <w:r>
              <w:rPr>
                <w:rFonts w:ascii="仿宋_GB2312" w:hAnsi="仿宋_GB2312" w:cs="仿宋_GB2312" w:eastAsia="仿宋_GB2312"/>
              </w:rPr>
              <w:t>商务应答表 服务内容及服务要求应答表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