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32E39">
      <w:pPr>
        <w:spacing w:line="360" w:lineRule="auto"/>
        <w:jc w:val="center"/>
        <w:rPr>
          <w:sz w:val="72"/>
          <w:szCs w:val="72"/>
        </w:rPr>
      </w:pPr>
      <w:bookmarkStart w:id="0" w:name="_Toc16020"/>
      <w:bookmarkStart w:id="1" w:name="_Toc13138"/>
      <w:bookmarkStart w:id="2" w:name="_Toc11344"/>
      <w:bookmarkStart w:id="3" w:name="_Toc21158"/>
      <w:bookmarkStart w:id="4" w:name="_Toc12983"/>
      <w:bookmarkStart w:id="5" w:name="_Toc20697"/>
      <w:bookmarkStart w:id="6" w:name="_Toc31133"/>
      <w:bookmarkStart w:id="7" w:name="_Toc15856"/>
    </w:p>
    <w:p w14:paraId="238A533C">
      <w:pPr>
        <w:spacing w:line="360" w:lineRule="auto"/>
        <w:jc w:val="center"/>
        <w:rPr>
          <w:sz w:val="52"/>
          <w:szCs w:val="52"/>
        </w:rPr>
      </w:pPr>
      <w:r>
        <w:rPr>
          <w:rFonts w:hint="eastAsia"/>
          <w:sz w:val="52"/>
          <w:szCs w:val="52"/>
        </w:rPr>
        <w:t>政府采购合同</w:t>
      </w:r>
    </w:p>
    <w:p w14:paraId="6C0BC82F">
      <w:pPr>
        <w:spacing w:line="360" w:lineRule="auto"/>
        <w:jc w:val="center"/>
        <w:rPr>
          <w:sz w:val="72"/>
          <w:szCs w:val="72"/>
        </w:rPr>
      </w:pPr>
    </w:p>
    <w:p w14:paraId="4D3509FF">
      <w:pPr>
        <w:spacing w:line="360" w:lineRule="auto"/>
        <w:jc w:val="center"/>
        <w:rPr>
          <w:sz w:val="72"/>
          <w:szCs w:val="72"/>
        </w:rPr>
      </w:pPr>
    </w:p>
    <w:p w14:paraId="5D392DD4">
      <w:pPr>
        <w:spacing w:line="360" w:lineRule="auto"/>
        <w:rPr>
          <w:sz w:val="32"/>
          <w:szCs w:val="32"/>
        </w:rPr>
      </w:pPr>
      <w:r>
        <w:rPr>
          <w:rFonts w:hint="eastAsia"/>
          <w:sz w:val="32"/>
          <w:szCs w:val="32"/>
        </w:rPr>
        <w:t>项目名称：</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p>
    <w:p w14:paraId="691B50CA">
      <w:pPr>
        <w:spacing w:line="360" w:lineRule="auto"/>
        <w:rPr>
          <w:sz w:val="32"/>
          <w:szCs w:val="32"/>
        </w:rPr>
      </w:pPr>
    </w:p>
    <w:p w14:paraId="79072321">
      <w:pPr>
        <w:spacing w:line="360" w:lineRule="auto"/>
        <w:rPr>
          <w:sz w:val="32"/>
          <w:szCs w:val="32"/>
          <w:u w:val="single"/>
        </w:rPr>
      </w:pPr>
      <w:r>
        <w:rPr>
          <w:rFonts w:hint="eastAsia"/>
          <w:sz w:val="32"/>
          <w:szCs w:val="32"/>
        </w:rPr>
        <w:t>项目编号：</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p>
    <w:p w14:paraId="13659106">
      <w:pPr>
        <w:spacing w:line="360" w:lineRule="auto"/>
        <w:rPr>
          <w:sz w:val="32"/>
          <w:szCs w:val="32"/>
          <w:u w:val="single"/>
        </w:rPr>
      </w:pPr>
    </w:p>
    <w:p w14:paraId="5799CF74">
      <w:pPr>
        <w:spacing w:line="360" w:lineRule="auto"/>
        <w:rPr>
          <w:sz w:val="32"/>
          <w:szCs w:val="32"/>
          <w:u w:val="single"/>
        </w:rPr>
      </w:pPr>
    </w:p>
    <w:p w14:paraId="627AE7B0">
      <w:pPr>
        <w:spacing w:line="360" w:lineRule="auto"/>
        <w:rPr>
          <w:sz w:val="32"/>
          <w:szCs w:val="32"/>
          <w:u w:val="single"/>
        </w:rPr>
      </w:pPr>
    </w:p>
    <w:p w14:paraId="3BEFAA78">
      <w:pPr>
        <w:spacing w:line="360" w:lineRule="auto"/>
        <w:rPr>
          <w:sz w:val="32"/>
          <w:szCs w:val="32"/>
          <w:u w:val="single"/>
        </w:rPr>
      </w:pPr>
    </w:p>
    <w:p w14:paraId="08F5AC1A">
      <w:pPr>
        <w:spacing w:line="360" w:lineRule="auto"/>
        <w:rPr>
          <w:sz w:val="32"/>
          <w:szCs w:val="32"/>
          <w:u w:val="single"/>
        </w:rPr>
      </w:pPr>
    </w:p>
    <w:p w14:paraId="05AD7117">
      <w:pPr>
        <w:spacing w:line="360" w:lineRule="auto"/>
        <w:rPr>
          <w:sz w:val="32"/>
          <w:szCs w:val="32"/>
          <w:u w:val="single"/>
        </w:rPr>
      </w:pPr>
    </w:p>
    <w:p w14:paraId="5A48156F">
      <w:pPr>
        <w:spacing w:line="360" w:lineRule="auto"/>
        <w:rPr>
          <w:sz w:val="32"/>
          <w:szCs w:val="32"/>
          <w:u w:val="single"/>
        </w:rPr>
      </w:pPr>
    </w:p>
    <w:p w14:paraId="5D1C5908">
      <w:pPr>
        <w:spacing w:line="360" w:lineRule="auto"/>
        <w:ind w:firstLine="480" w:firstLineChars="150"/>
        <w:rPr>
          <w:sz w:val="32"/>
          <w:szCs w:val="32"/>
        </w:rPr>
      </w:pPr>
      <w:r>
        <w:rPr>
          <w:rFonts w:hint="eastAsia"/>
          <w:sz w:val="32"/>
          <w:szCs w:val="32"/>
        </w:rPr>
        <w:t>采  购  人（甲方）：</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p>
    <w:p w14:paraId="2FEA64CB">
      <w:pPr>
        <w:spacing w:line="360" w:lineRule="auto"/>
        <w:jc w:val="center"/>
        <w:rPr>
          <w:sz w:val="32"/>
          <w:szCs w:val="32"/>
        </w:rPr>
      </w:pPr>
    </w:p>
    <w:p w14:paraId="74C2F73D">
      <w:pPr>
        <w:spacing w:line="360" w:lineRule="auto"/>
        <w:ind w:firstLine="480" w:firstLineChars="150"/>
        <w:rPr>
          <w:sz w:val="32"/>
          <w:szCs w:val="32"/>
          <w:u w:val="single"/>
        </w:rPr>
      </w:pPr>
      <w:r>
        <w:rPr>
          <w:rFonts w:hint="eastAsia"/>
          <w:sz w:val="32"/>
          <w:szCs w:val="32"/>
        </w:rPr>
        <w:t>成交供应商（乙方）：</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p>
    <w:p w14:paraId="2C0C1697">
      <w:pPr>
        <w:spacing w:line="360" w:lineRule="auto"/>
        <w:ind w:firstLine="960" w:firstLineChars="300"/>
        <w:rPr>
          <w:sz w:val="32"/>
          <w:szCs w:val="32"/>
          <w:u w:val="single"/>
        </w:rPr>
      </w:pPr>
    </w:p>
    <w:p w14:paraId="6A2C9A9F">
      <w:pPr>
        <w:spacing w:line="360" w:lineRule="auto"/>
        <w:jc w:val="center"/>
        <w:outlineLvl w:val="1"/>
        <w:rPr>
          <w:rFonts w:cs="宋体" w:asciiTheme="minorEastAsia" w:hAnsiTheme="minorEastAsia" w:eastAsiaTheme="minorEastAsia"/>
          <w:sz w:val="36"/>
          <w:szCs w:val="36"/>
        </w:rPr>
      </w:pPr>
      <w:r>
        <w:rPr>
          <w:rFonts w:hint="eastAsia" w:ascii="宋体" w:hAnsi="宋体" w:cs="宋体"/>
          <w:sz w:val="32"/>
          <w:szCs w:val="32"/>
        </w:rPr>
        <w:t>日期：   年   月</w:t>
      </w:r>
    </w:p>
    <w:p w14:paraId="77A374C1">
      <w:pPr>
        <w:spacing w:line="360" w:lineRule="auto"/>
        <w:jc w:val="center"/>
        <w:outlineLvl w:val="1"/>
        <w:rPr>
          <w:rFonts w:cs="宋体" w:asciiTheme="minorEastAsia" w:hAnsiTheme="minorEastAsia" w:eastAsiaTheme="minorEastAsia"/>
          <w:sz w:val="36"/>
          <w:szCs w:val="36"/>
        </w:rPr>
      </w:pPr>
    </w:p>
    <w:p w14:paraId="5F95F196">
      <w:pPr>
        <w:spacing w:line="360" w:lineRule="auto"/>
        <w:jc w:val="center"/>
        <w:outlineLvl w:val="1"/>
        <w:rPr>
          <w:rFonts w:cs="宋体" w:asciiTheme="minorEastAsia" w:hAnsiTheme="minorEastAsia" w:eastAsiaTheme="minorEastAsia"/>
          <w:sz w:val="36"/>
          <w:szCs w:val="36"/>
        </w:rPr>
      </w:pPr>
      <w:r>
        <w:rPr>
          <w:rFonts w:hint="eastAsia" w:cs="宋体" w:asciiTheme="minorEastAsia" w:hAnsiTheme="minorEastAsia" w:eastAsiaTheme="minorEastAsia"/>
          <w:sz w:val="36"/>
          <w:szCs w:val="36"/>
        </w:rPr>
        <w:t>政府采购合同</w:t>
      </w:r>
      <w:bookmarkEnd w:id="0"/>
      <w:bookmarkEnd w:id="1"/>
      <w:bookmarkEnd w:id="2"/>
      <w:bookmarkEnd w:id="3"/>
      <w:bookmarkEnd w:id="4"/>
      <w:bookmarkEnd w:id="5"/>
      <w:bookmarkEnd w:id="6"/>
      <w:bookmarkEnd w:id="7"/>
    </w:p>
    <w:p w14:paraId="6173F2CB">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u w:val="single"/>
          <w:lang w:val="zh-CN"/>
        </w:rPr>
        <w:t>20</w:t>
      </w:r>
      <w:r>
        <w:rPr>
          <w:rFonts w:hint="eastAsia" w:cs="宋体" w:asciiTheme="minorEastAsia" w:hAnsiTheme="minorEastAsia" w:eastAsiaTheme="minorEastAsia"/>
          <w:sz w:val="24"/>
          <w:u w:val="single"/>
        </w:rPr>
        <w:t>25</w:t>
      </w:r>
      <w:r>
        <w:rPr>
          <w:rFonts w:hint="eastAsia" w:cs="宋体" w:asciiTheme="minorEastAsia" w:hAnsiTheme="minorEastAsia" w:eastAsiaTheme="minorEastAsia"/>
          <w:sz w:val="24"/>
          <w:lang w:val="zh-CN"/>
        </w:rPr>
        <w:t>年</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rPr>
        <w:t>月</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rPr>
        <w:t>日，</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rPr>
        <w:t>（以下简称“甲方”）以竞争性磋商采购方式对</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hint="eastAsia" w:ascii="宋体" w:hAnsi="宋体" w:cs="宋体"/>
          <w:sz w:val="24"/>
          <w:u w:val="single"/>
        </w:rPr>
        <w:t xml:space="preserve">  （</w:t>
      </w:r>
      <w:r>
        <w:rPr>
          <w:rFonts w:hint="eastAsia" w:cs="宋体" w:asciiTheme="minorEastAsia" w:hAnsiTheme="minorEastAsia" w:eastAsiaTheme="minorEastAsia"/>
          <w:sz w:val="24"/>
          <w:u w:val="single"/>
        </w:rPr>
        <w:t>项目名称</w:t>
      </w:r>
      <w:r>
        <w:rPr>
          <w:rFonts w:hint="eastAsia" w:ascii="宋体" w:hAnsi="宋体" w:cs="宋体"/>
          <w:sz w:val="24"/>
          <w:u w:val="single"/>
        </w:rPr>
        <w:t xml:space="preserve">） </w:t>
      </w:r>
      <w:r>
        <w:rPr>
          <w:rFonts w:hint="eastAsia" w:ascii="宋体" w:hAnsi="宋体" w:cs="宋体"/>
          <w:sz w:val="32"/>
          <w:szCs w:val="32"/>
          <w:u w:val="single"/>
        </w:rPr>
        <w:t xml:space="preserve">       </w:t>
      </w:r>
      <w:r>
        <w:rPr>
          <w:rFonts w:hint="eastAsia" w:cs="宋体" w:asciiTheme="minorEastAsia" w:hAnsiTheme="minorEastAsia" w:eastAsiaTheme="minorEastAsia"/>
          <w:sz w:val="24"/>
        </w:rPr>
        <w:t>【项目编号：</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hint="eastAsia" w:cs="宋体" w:asciiTheme="minorEastAsia" w:hAnsiTheme="minorEastAsia" w:eastAsiaTheme="minorEastAsia"/>
          <w:sz w:val="24"/>
        </w:rPr>
        <w:t>】进行了磋商。根据磋商结果，</w:t>
      </w:r>
      <w:r>
        <w:rPr>
          <w:rFonts w:ascii="宋体" w:hAnsi="宋体" w:cs="宋体"/>
          <w:sz w:val="32"/>
          <w:szCs w:val="32"/>
          <w:u w:val="single"/>
        </w:rPr>
        <w:t xml:space="preserve"> </w:t>
      </w:r>
      <w:r>
        <w:rPr>
          <w:rFonts w:hint="eastAsia" w:ascii="宋体" w:hAnsi="宋体" w:cs="宋体"/>
          <w:sz w:val="32"/>
          <w:szCs w:val="32"/>
          <w:u w:val="single"/>
        </w:rPr>
        <w:t xml:space="preserve">          </w:t>
      </w:r>
      <w:r>
        <w:rPr>
          <w:rFonts w:hint="eastAsia" w:cs="宋体" w:asciiTheme="minorEastAsia" w:hAnsiTheme="minorEastAsia" w:eastAsiaTheme="minorEastAsia"/>
          <w:sz w:val="24"/>
        </w:rPr>
        <w:t>（以下简称“乙方”）为该项目成交供应商。现于成交通知书发出之日起二十五日内，按照采购文件确定的事项签订本合同。</w:t>
      </w:r>
    </w:p>
    <w:p w14:paraId="59593E8A">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lang w:val="zh-CN"/>
        </w:rPr>
        <w:t>根据《中华人民共和国民法典》、《中华人民共和国政府采购法》等相关法律法规之规定，按照平等、自愿、公平和诚实信用的原则，经甲方和乙方协商一致，约定以下合同</w:t>
      </w:r>
      <w:r>
        <w:rPr>
          <w:rFonts w:hint="eastAsia" w:cs="宋体" w:asciiTheme="minorEastAsia" w:hAnsiTheme="minorEastAsia" w:eastAsiaTheme="minorEastAsia"/>
          <w:sz w:val="24"/>
        </w:rPr>
        <w:t>条款，以兹共同遵守、全面履行。</w:t>
      </w:r>
    </w:p>
    <w:p w14:paraId="0C6E8858">
      <w:pPr>
        <w:spacing w:line="360" w:lineRule="auto"/>
        <w:ind w:firstLine="482" w:firstLineChars="200"/>
        <w:rPr>
          <w:rFonts w:cs="宋体" w:asciiTheme="minorEastAsia" w:hAnsiTheme="minorEastAsia" w:eastAsiaTheme="minorEastAsia"/>
          <w:b/>
          <w:bCs/>
          <w:sz w:val="24"/>
        </w:rPr>
      </w:pPr>
      <w:bookmarkStart w:id="8" w:name="_Toc3029"/>
      <w:bookmarkStart w:id="9" w:name="_Toc2232"/>
      <w:bookmarkStart w:id="10" w:name="_Toc27743"/>
      <w:bookmarkStart w:id="11" w:name="_Toc24059"/>
      <w:bookmarkStart w:id="12" w:name="_Toc17016"/>
      <w:r>
        <w:rPr>
          <w:rFonts w:hint="eastAsia" w:cs="宋体" w:asciiTheme="minorEastAsia" w:hAnsiTheme="minorEastAsia" w:eastAsiaTheme="minorEastAsia"/>
          <w:b/>
          <w:bCs/>
          <w:sz w:val="24"/>
        </w:rPr>
        <w:t>1.1合同组成部分</w:t>
      </w:r>
      <w:bookmarkEnd w:id="8"/>
      <w:bookmarkEnd w:id="9"/>
      <w:bookmarkEnd w:id="10"/>
      <w:bookmarkEnd w:id="11"/>
      <w:bookmarkEnd w:id="12"/>
    </w:p>
    <w:p w14:paraId="5AAAADAA">
      <w:pPr>
        <w:spacing w:line="360" w:lineRule="auto"/>
        <w:ind w:firstLine="480" w:firstLineChars="200"/>
        <w:rPr>
          <w:rFonts w:cs="宋体" w:asciiTheme="minorEastAsia" w:hAnsiTheme="minorEastAsia" w:eastAsiaTheme="minorEastAsia"/>
          <w:sz w:val="24"/>
          <w:lang w:val="zh-CN"/>
        </w:rPr>
      </w:pPr>
      <w:r>
        <w:rPr>
          <w:rFonts w:hint="eastAsia" w:cs="宋体" w:asciiTheme="minorEastAsia" w:hAnsiTheme="minorEastAsia" w:eastAsiaTheme="minorEastAsia"/>
          <w:sz w:val="24"/>
        </w:rPr>
        <w:t>下列文件为本合同的组成部分，并构成一个整体，需综合解释、相互补充。</w:t>
      </w:r>
      <w:r>
        <w:rPr>
          <w:rFonts w:hint="eastAsia" w:cs="宋体" w:asciiTheme="minorEastAsia" w:hAnsiTheme="minorEastAsia" w:eastAsiaTheme="minorEastAsia"/>
          <w:sz w:val="24"/>
          <w:lang w:val="zh-CN"/>
        </w:rPr>
        <w:t>如果下列文件内容出现不一致的情形，那么在保证按照采购文件确定的事项的前提下，组成本合同的多个文件的优先适用顺序如下：</w:t>
      </w:r>
    </w:p>
    <w:p w14:paraId="13CC1924">
      <w:pPr>
        <w:spacing w:line="360" w:lineRule="auto"/>
        <w:ind w:firstLine="480" w:firstLineChars="200"/>
        <w:rPr>
          <w:rFonts w:cs="宋体" w:asciiTheme="minorEastAsia" w:hAnsiTheme="minorEastAsia" w:eastAsiaTheme="minorEastAsia"/>
          <w:sz w:val="24"/>
          <w:lang w:val="zh-CN"/>
        </w:rPr>
      </w:pPr>
      <w:r>
        <w:rPr>
          <w:rFonts w:hint="eastAsia" w:cs="宋体" w:asciiTheme="minorEastAsia" w:hAnsiTheme="minorEastAsia" w:eastAsiaTheme="minorEastAsia"/>
          <w:sz w:val="24"/>
          <w:lang w:val="zh-CN"/>
        </w:rPr>
        <w:t>1.1.1本合同及其补充合同、变更协议；</w:t>
      </w:r>
    </w:p>
    <w:p w14:paraId="5942280F">
      <w:pPr>
        <w:spacing w:line="360" w:lineRule="auto"/>
        <w:ind w:firstLine="480" w:firstLineChars="200"/>
        <w:rPr>
          <w:rFonts w:cs="宋体" w:asciiTheme="minorEastAsia" w:hAnsiTheme="minorEastAsia" w:eastAsiaTheme="minorEastAsia"/>
          <w:sz w:val="24"/>
          <w:lang w:val="zh-CN"/>
        </w:rPr>
      </w:pPr>
      <w:r>
        <w:rPr>
          <w:rFonts w:hint="eastAsia" w:cs="宋体" w:asciiTheme="minorEastAsia" w:hAnsiTheme="minorEastAsia" w:eastAsiaTheme="minorEastAsia"/>
          <w:sz w:val="24"/>
          <w:lang w:val="zh-CN"/>
        </w:rPr>
        <w:t>1.1.2</w:t>
      </w:r>
      <w:r>
        <w:rPr>
          <w:rFonts w:hint="eastAsia" w:cs="宋体" w:asciiTheme="minorEastAsia" w:hAnsiTheme="minorEastAsia" w:eastAsiaTheme="minorEastAsia"/>
          <w:sz w:val="24"/>
        </w:rPr>
        <w:t>成交通知书</w:t>
      </w:r>
      <w:r>
        <w:rPr>
          <w:rFonts w:hint="eastAsia" w:cs="宋体" w:asciiTheme="minorEastAsia" w:hAnsiTheme="minorEastAsia" w:eastAsiaTheme="minorEastAsia"/>
          <w:sz w:val="24"/>
          <w:lang w:val="zh-CN"/>
        </w:rPr>
        <w:t>；</w:t>
      </w:r>
    </w:p>
    <w:p w14:paraId="583F4921">
      <w:pPr>
        <w:spacing w:line="360" w:lineRule="auto"/>
        <w:ind w:firstLine="480" w:firstLineChars="200"/>
        <w:rPr>
          <w:rFonts w:cs="宋体" w:asciiTheme="minorEastAsia" w:hAnsiTheme="minorEastAsia" w:eastAsiaTheme="minorEastAsia"/>
          <w:sz w:val="24"/>
          <w:lang w:val="zh-CN"/>
        </w:rPr>
      </w:pPr>
      <w:r>
        <w:rPr>
          <w:rFonts w:hint="eastAsia" w:cs="宋体" w:asciiTheme="minorEastAsia" w:hAnsiTheme="minorEastAsia" w:eastAsiaTheme="minorEastAsia"/>
          <w:sz w:val="24"/>
          <w:lang w:val="zh-CN"/>
        </w:rPr>
        <w:t>1.1.3</w:t>
      </w:r>
      <w:r>
        <w:rPr>
          <w:rFonts w:hint="eastAsia" w:cs="宋体" w:asciiTheme="minorEastAsia" w:hAnsiTheme="minorEastAsia" w:eastAsiaTheme="minorEastAsia"/>
          <w:sz w:val="24"/>
        </w:rPr>
        <w:t>响应文件</w:t>
      </w:r>
      <w:r>
        <w:rPr>
          <w:rFonts w:hint="eastAsia" w:cs="宋体" w:asciiTheme="minorEastAsia" w:hAnsiTheme="minorEastAsia" w:eastAsiaTheme="minorEastAsia"/>
          <w:sz w:val="24"/>
          <w:lang w:val="zh-CN"/>
        </w:rPr>
        <w:t>（含澄清或者说明文件）；</w:t>
      </w:r>
    </w:p>
    <w:p w14:paraId="763A69F3">
      <w:pPr>
        <w:spacing w:line="360" w:lineRule="auto"/>
        <w:ind w:firstLine="480" w:firstLineChars="200"/>
        <w:rPr>
          <w:rFonts w:cs="宋体" w:asciiTheme="minorEastAsia" w:hAnsiTheme="minorEastAsia" w:eastAsiaTheme="minorEastAsia"/>
          <w:sz w:val="24"/>
          <w:lang w:val="zh-CN"/>
        </w:rPr>
      </w:pPr>
      <w:r>
        <w:rPr>
          <w:rFonts w:hint="eastAsia" w:cs="宋体" w:asciiTheme="minorEastAsia" w:hAnsiTheme="minorEastAsia" w:eastAsiaTheme="minorEastAsia"/>
          <w:sz w:val="24"/>
          <w:lang w:val="zh-CN"/>
        </w:rPr>
        <w:t>1.1.4</w:t>
      </w:r>
      <w:r>
        <w:rPr>
          <w:rFonts w:hint="eastAsia" w:cs="宋体" w:asciiTheme="minorEastAsia" w:hAnsiTheme="minorEastAsia" w:eastAsiaTheme="minorEastAsia"/>
          <w:sz w:val="24"/>
        </w:rPr>
        <w:t>磋商文件</w:t>
      </w:r>
      <w:r>
        <w:rPr>
          <w:rFonts w:hint="eastAsia" w:cs="宋体" w:asciiTheme="minorEastAsia" w:hAnsiTheme="minorEastAsia" w:eastAsiaTheme="minorEastAsia"/>
          <w:sz w:val="24"/>
          <w:lang w:val="zh-CN"/>
        </w:rPr>
        <w:t>（含澄清或者修改文件）；</w:t>
      </w:r>
    </w:p>
    <w:p w14:paraId="5043482D">
      <w:pPr>
        <w:spacing w:line="360" w:lineRule="auto"/>
        <w:ind w:firstLine="480" w:firstLineChars="200"/>
        <w:rPr>
          <w:rFonts w:cs="宋体" w:asciiTheme="minorEastAsia" w:hAnsiTheme="minorEastAsia" w:eastAsiaTheme="minorEastAsia"/>
          <w:sz w:val="24"/>
          <w:lang w:val="zh-CN"/>
        </w:rPr>
      </w:pPr>
      <w:r>
        <w:rPr>
          <w:rFonts w:hint="eastAsia" w:cs="宋体" w:asciiTheme="minorEastAsia" w:hAnsiTheme="minorEastAsia" w:eastAsiaTheme="minorEastAsia"/>
          <w:sz w:val="24"/>
          <w:lang w:val="zh-CN"/>
        </w:rPr>
        <w:t>1.1.5其他相关采购文件。</w:t>
      </w:r>
    </w:p>
    <w:p w14:paraId="722D868C">
      <w:pPr>
        <w:spacing w:line="360" w:lineRule="auto"/>
        <w:ind w:firstLine="482" w:firstLineChars="200"/>
        <w:rPr>
          <w:rFonts w:cs="宋体" w:asciiTheme="minorEastAsia" w:hAnsiTheme="minorEastAsia" w:eastAsiaTheme="minorEastAsia"/>
          <w:b/>
          <w:bCs/>
          <w:sz w:val="24"/>
        </w:rPr>
      </w:pPr>
      <w:bookmarkStart w:id="13" w:name="_Toc21295"/>
      <w:bookmarkStart w:id="14" w:name="_Toc24300"/>
      <w:bookmarkStart w:id="15" w:name="_Toc27126"/>
      <w:bookmarkStart w:id="16" w:name="_Toc12433"/>
      <w:r>
        <w:rPr>
          <w:rFonts w:hint="eastAsia" w:cs="宋体" w:asciiTheme="minorEastAsia" w:hAnsiTheme="minorEastAsia" w:eastAsiaTheme="minorEastAsia"/>
          <w:b/>
          <w:bCs/>
          <w:sz w:val="24"/>
        </w:rPr>
        <w:t>1.2服务</w:t>
      </w:r>
      <w:bookmarkEnd w:id="13"/>
      <w:bookmarkEnd w:id="14"/>
      <w:bookmarkEnd w:id="15"/>
      <w:bookmarkEnd w:id="16"/>
    </w:p>
    <w:p w14:paraId="30EE9EDA">
      <w:pPr>
        <w:spacing w:line="360" w:lineRule="auto"/>
        <w:ind w:firstLine="480" w:firstLineChars="200"/>
        <w:rPr>
          <w:rFonts w:cs="宋体" w:asciiTheme="minorEastAsia" w:hAnsiTheme="minorEastAsia" w:eastAsiaTheme="minorEastAsia"/>
          <w:sz w:val="24"/>
          <w:lang w:val="zh-CN"/>
        </w:rPr>
      </w:pPr>
      <w:r>
        <w:rPr>
          <w:rFonts w:hint="eastAsia" w:cs="宋体" w:asciiTheme="minorEastAsia" w:hAnsiTheme="minorEastAsia" w:eastAsiaTheme="minorEastAsia"/>
          <w:sz w:val="24"/>
          <w:lang w:val="zh-CN"/>
        </w:rPr>
        <w:t>1.2.1项目名称：</w:t>
      </w:r>
    </w:p>
    <w:p w14:paraId="1E203DC9">
      <w:pPr>
        <w:spacing w:line="360" w:lineRule="auto"/>
        <w:ind w:firstLine="480" w:firstLineChars="200"/>
        <w:rPr>
          <w:rFonts w:cs="宋体" w:asciiTheme="minorEastAsia" w:hAnsiTheme="minorEastAsia"/>
          <w:sz w:val="24"/>
          <w:lang w:val="zh-CN"/>
        </w:rPr>
      </w:pPr>
      <w:r>
        <w:rPr>
          <w:rFonts w:hint="eastAsia" w:cs="宋体" w:asciiTheme="minorEastAsia" w:hAnsiTheme="minorEastAsia" w:eastAsiaTheme="minorEastAsia"/>
          <w:sz w:val="24"/>
          <w:lang w:val="zh-CN"/>
        </w:rPr>
        <w:t>1.2.2服务内容：</w:t>
      </w:r>
    </w:p>
    <w:p w14:paraId="194884F5">
      <w:pPr>
        <w:spacing w:line="360" w:lineRule="auto"/>
        <w:ind w:firstLine="480" w:firstLineChars="200"/>
        <w:rPr>
          <w:rFonts w:cs="宋体" w:asciiTheme="minorEastAsia" w:hAnsiTheme="minorEastAsia" w:eastAsiaTheme="minorEastAsia"/>
          <w:sz w:val="24"/>
          <w:lang w:val="zh-CN"/>
        </w:rPr>
      </w:pPr>
      <w:r>
        <w:rPr>
          <w:rFonts w:hint="eastAsia" w:cs="宋体" w:asciiTheme="minorEastAsia" w:hAnsiTheme="minorEastAsia" w:eastAsiaTheme="minorEastAsia"/>
          <w:sz w:val="24"/>
          <w:lang w:val="zh-CN"/>
        </w:rPr>
        <w:t>1.2.3服务质量：</w:t>
      </w:r>
    </w:p>
    <w:p w14:paraId="5EE1CDDB">
      <w:pPr>
        <w:spacing w:line="360" w:lineRule="auto"/>
        <w:ind w:firstLine="482" w:firstLineChars="200"/>
        <w:rPr>
          <w:rFonts w:cs="宋体" w:asciiTheme="minorEastAsia" w:hAnsiTheme="minorEastAsia" w:eastAsiaTheme="minorEastAsia"/>
          <w:b/>
          <w:bCs/>
          <w:sz w:val="24"/>
        </w:rPr>
      </w:pPr>
      <w:bookmarkStart w:id="17" w:name="_Toc23292"/>
      <w:bookmarkStart w:id="18" w:name="_Toc21631"/>
      <w:bookmarkStart w:id="19" w:name="_Toc2609"/>
      <w:bookmarkStart w:id="20" w:name="_Toc20892"/>
      <w:bookmarkStart w:id="21" w:name="_Toc21551"/>
      <w:r>
        <w:rPr>
          <w:rFonts w:hint="eastAsia" w:cs="宋体" w:asciiTheme="minorEastAsia" w:hAnsiTheme="minorEastAsia" w:eastAsiaTheme="minorEastAsia"/>
          <w:b/>
          <w:bCs/>
          <w:sz w:val="24"/>
        </w:rPr>
        <w:t>1.3</w:t>
      </w:r>
      <w:bookmarkEnd w:id="17"/>
      <w:bookmarkEnd w:id="18"/>
      <w:bookmarkEnd w:id="19"/>
      <w:bookmarkEnd w:id="20"/>
      <w:bookmarkEnd w:id="21"/>
      <w:r>
        <w:rPr>
          <w:rFonts w:hint="eastAsia" w:cs="宋体" w:asciiTheme="minorEastAsia" w:hAnsiTheme="minorEastAsia" w:eastAsiaTheme="minorEastAsia"/>
          <w:b/>
          <w:bCs/>
          <w:sz w:val="24"/>
        </w:rPr>
        <w:t>合同金额</w:t>
      </w:r>
    </w:p>
    <w:p w14:paraId="2AA4C8F8">
      <w:pPr>
        <w:snapToGrid w:val="0"/>
        <w:spacing w:line="360" w:lineRule="auto"/>
        <w:ind w:firstLine="480" w:firstLineChars="200"/>
        <w:jc w:val="left"/>
        <w:rPr>
          <w:rFonts w:cs="宋体" w:asciiTheme="minorEastAsia" w:hAnsiTheme="minorEastAsia" w:eastAsiaTheme="minorEastAsia"/>
          <w:sz w:val="24"/>
        </w:rPr>
      </w:pPr>
      <w:r>
        <w:rPr>
          <w:rFonts w:cs="宋体" w:asciiTheme="minorEastAsia" w:hAnsiTheme="minorEastAsia" w:eastAsiaTheme="minorEastAsia"/>
          <w:sz w:val="24"/>
          <w:lang w:val="zh-CN"/>
        </w:rPr>
        <w:t>合同金额：</w:t>
      </w:r>
      <w:r>
        <w:rPr>
          <w:rFonts w:hint="eastAsia" w:cs="宋体" w:asciiTheme="minorEastAsia" w:hAnsiTheme="minorEastAsia" w:eastAsiaTheme="minorEastAsia"/>
          <w:sz w:val="24"/>
          <w:lang w:val="zh-CN"/>
        </w:rPr>
        <w:t>（小写）￥</w:t>
      </w:r>
      <w:r>
        <w:rPr>
          <w:rFonts w:hint="eastAsia" w:cs="宋体" w:asciiTheme="minorEastAsia" w:hAnsiTheme="minorEastAsia" w:eastAsiaTheme="minorEastAsia"/>
          <w:sz w:val="24"/>
        </w:rPr>
        <w:t xml:space="preserve">   </w:t>
      </w:r>
      <w:r>
        <w:rPr>
          <w:rFonts w:hint="eastAsia" w:cs="宋体" w:asciiTheme="minorEastAsia" w:hAnsiTheme="minorEastAsia" w:eastAsiaTheme="minorEastAsia"/>
          <w:sz w:val="24"/>
          <w:lang w:val="zh-CN"/>
        </w:rPr>
        <w:t>元，（大写）</w:t>
      </w:r>
      <w:r>
        <w:rPr>
          <w:rFonts w:hint="eastAsia" w:cs="宋体" w:asciiTheme="minorEastAsia" w:hAnsiTheme="minorEastAsia" w:eastAsiaTheme="minorEastAsia"/>
          <w:sz w:val="24"/>
        </w:rPr>
        <w:t xml:space="preserve">   </w:t>
      </w:r>
    </w:p>
    <w:p w14:paraId="65ABEBF8">
      <w:pPr>
        <w:spacing w:line="360" w:lineRule="auto"/>
        <w:ind w:firstLine="480" w:firstLineChars="200"/>
        <w:jc w:val="left"/>
        <w:rPr>
          <w:rFonts w:cs="宋体" w:asciiTheme="minorEastAsia" w:hAnsiTheme="minorEastAsia" w:eastAsiaTheme="minorEastAsia"/>
          <w:sz w:val="24"/>
          <w:lang w:val="zh-CN"/>
        </w:rPr>
      </w:pPr>
      <w:r>
        <w:rPr>
          <w:rFonts w:cs="宋体" w:asciiTheme="minorEastAsia" w:hAnsiTheme="minorEastAsia" w:eastAsiaTheme="minorEastAsia"/>
          <w:sz w:val="24"/>
          <w:lang w:val="zh-CN"/>
        </w:rPr>
        <w:t>合同总价即</w:t>
      </w:r>
      <w:r>
        <w:rPr>
          <w:rFonts w:hint="eastAsia" w:cs="宋体" w:asciiTheme="minorEastAsia" w:hAnsiTheme="minorEastAsia" w:eastAsiaTheme="minorEastAsia"/>
          <w:sz w:val="24"/>
          <w:lang w:val="zh-CN"/>
        </w:rPr>
        <w:t>成交</w:t>
      </w:r>
      <w:r>
        <w:rPr>
          <w:rFonts w:cs="宋体" w:asciiTheme="minorEastAsia" w:hAnsiTheme="minorEastAsia" w:eastAsiaTheme="minorEastAsia"/>
          <w:sz w:val="24"/>
          <w:lang w:val="zh-CN"/>
        </w:rPr>
        <w:t>价，不受市场价变化。合同价款为含税价，</w:t>
      </w:r>
      <w:r>
        <w:rPr>
          <w:rFonts w:hint="eastAsia" w:cs="宋体" w:asciiTheme="minorEastAsia" w:hAnsiTheme="minorEastAsia" w:eastAsiaTheme="minorEastAsia"/>
          <w:sz w:val="24"/>
          <w:lang w:val="zh-CN"/>
        </w:rPr>
        <w:t>完成项目</w:t>
      </w:r>
      <w:r>
        <w:rPr>
          <w:rFonts w:cs="宋体" w:asciiTheme="minorEastAsia" w:hAnsiTheme="minorEastAsia" w:eastAsiaTheme="minorEastAsia"/>
          <w:sz w:val="24"/>
          <w:lang w:val="zh-CN"/>
        </w:rPr>
        <w:t>所发生的一切费用(包括税费)等都已包含于合同价款中。</w:t>
      </w:r>
      <w:r>
        <w:rPr>
          <w:rFonts w:hint="eastAsia" w:cs="宋体" w:asciiTheme="minorEastAsia" w:hAnsiTheme="minorEastAsia" w:eastAsiaTheme="minorEastAsia"/>
          <w:sz w:val="24"/>
          <w:lang w:val="zh-CN"/>
        </w:rPr>
        <w:t xml:space="preserve"> </w:t>
      </w:r>
    </w:p>
    <w:p w14:paraId="26A92043">
      <w:pPr>
        <w:spacing w:line="360" w:lineRule="auto"/>
        <w:ind w:firstLine="480" w:firstLineChars="200"/>
        <w:rPr>
          <w:lang w:val="zh-CN"/>
        </w:rPr>
      </w:pPr>
      <w:r>
        <w:rPr>
          <w:rFonts w:hint="eastAsia" w:cs="宋体" w:asciiTheme="minorEastAsia" w:hAnsiTheme="minorEastAsia" w:eastAsiaTheme="minorEastAsia"/>
          <w:sz w:val="24"/>
          <w:lang w:val="zh-CN"/>
        </w:rPr>
        <w:t>合同分项价格：详见分项报价表</w:t>
      </w:r>
    </w:p>
    <w:p w14:paraId="43812AEC">
      <w:pPr>
        <w:spacing w:line="360" w:lineRule="auto"/>
        <w:ind w:firstLine="482" w:firstLineChars="200"/>
        <w:rPr>
          <w:rFonts w:cs="宋体" w:asciiTheme="minorEastAsia" w:hAnsiTheme="minorEastAsia" w:eastAsiaTheme="minorEastAsia"/>
          <w:b/>
          <w:bCs/>
          <w:sz w:val="24"/>
        </w:rPr>
      </w:pPr>
      <w:bookmarkStart w:id="22" w:name="_Toc23571"/>
      <w:bookmarkStart w:id="23" w:name="_Toc14984"/>
      <w:bookmarkStart w:id="24" w:name="_Toc1814"/>
      <w:bookmarkStart w:id="25" w:name="_Toc10340"/>
      <w:bookmarkStart w:id="26" w:name="_Toc22618"/>
      <w:r>
        <w:rPr>
          <w:rFonts w:hint="eastAsia" w:cs="宋体" w:asciiTheme="minorEastAsia" w:hAnsiTheme="minorEastAsia" w:eastAsiaTheme="minorEastAsia"/>
          <w:b/>
          <w:bCs/>
          <w:sz w:val="24"/>
        </w:rPr>
        <w:t>1.4付款方式和发票开具方式</w:t>
      </w:r>
      <w:bookmarkEnd w:id="22"/>
      <w:bookmarkEnd w:id="23"/>
      <w:bookmarkEnd w:id="24"/>
      <w:bookmarkEnd w:id="25"/>
      <w:bookmarkEnd w:id="26"/>
    </w:p>
    <w:p w14:paraId="5E9411B4">
      <w:pPr>
        <w:pStyle w:val="18"/>
        <w:spacing w:line="360" w:lineRule="auto"/>
        <w:ind w:firstLine="480" w:firstLineChars="200"/>
        <w:rPr>
          <w:rFonts w:cs="宋体" w:asciiTheme="minorEastAsia" w:hAnsiTheme="minorEastAsia" w:eastAsiaTheme="minorEastAsia"/>
          <w:color w:val="auto"/>
        </w:rPr>
      </w:pPr>
      <w:r>
        <w:rPr>
          <w:rFonts w:hint="eastAsia" w:cs="宋体" w:asciiTheme="minorEastAsia" w:hAnsiTheme="minorEastAsia" w:eastAsiaTheme="minorEastAsia"/>
          <w:color w:val="auto"/>
        </w:rPr>
        <w:t>1.4.1付款方式：</w:t>
      </w:r>
    </w:p>
    <w:p w14:paraId="33FDA625">
      <w:pPr>
        <w:spacing w:line="360" w:lineRule="auto"/>
        <w:ind w:firstLine="480" w:firstLineChars="200"/>
        <w:outlineLvl w:val="1"/>
        <w:rPr>
          <w:rFonts w:cs="宋体" w:asciiTheme="minorEastAsia" w:hAnsiTheme="minorEastAsia" w:eastAsiaTheme="minorEastAsia"/>
          <w:sz w:val="24"/>
        </w:rPr>
      </w:pPr>
    </w:p>
    <w:p w14:paraId="4BE6645D">
      <w:pPr>
        <w:spacing w:line="360" w:lineRule="auto"/>
        <w:ind w:firstLine="480" w:firstLineChars="200"/>
        <w:outlineLvl w:val="1"/>
        <w:rPr>
          <w:rFonts w:cs="宋体" w:asciiTheme="minorEastAsia" w:hAnsiTheme="minorEastAsia" w:eastAsiaTheme="minorEastAsia"/>
          <w:sz w:val="24"/>
        </w:rPr>
      </w:pPr>
      <w:r>
        <w:rPr>
          <w:rFonts w:hint="eastAsia" w:cs="宋体" w:asciiTheme="minorEastAsia" w:hAnsiTheme="minorEastAsia" w:eastAsiaTheme="minorEastAsia"/>
          <w:sz w:val="24"/>
        </w:rPr>
        <w:t>乙方承诺在甲方办理支付手续前，为甲方出具等额的符合国家规定的发票。</w:t>
      </w:r>
      <w:r>
        <w:rPr>
          <w:rFonts w:cs="宋体" w:asciiTheme="minorEastAsia" w:hAnsiTheme="minorEastAsia" w:eastAsiaTheme="minorEastAsia"/>
          <w:sz w:val="24"/>
        </w:rPr>
        <w:t xml:space="preserve"> </w:t>
      </w:r>
    </w:p>
    <w:p w14:paraId="745253EC">
      <w:pPr>
        <w:spacing w:line="360" w:lineRule="auto"/>
        <w:ind w:firstLine="482" w:firstLineChars="200"/>
        <w:rPr>
          <w:rFonts w:cs="宋体" w:asciiTheme="minorEastAsia" w:hAnsiTheme="minorEastAsia" w:eastAsiaTheme="minorEastAsia"/>
          <w:b/>
          <w:bCs/>
          <w:sz w:val="24"/>
        </w:rPr>
      </w:pPr>
      <w:bookmarkStart w:id="27" w:name="_Toc10909"/>
      <w:bookmarkStart w:id="28" w:name="_Toc32071"/>
      <w:bookmarkStart w:id="29" w:name="_Toc19304"/>
      <w:bookmarkStart w:id="30" w:name="_Toc7370"/>
      <w:bookmarkStart w:id="31" w:name="_Toc2846"/>
      <w:r>
        <w:rPr>
          <w:rFonts w:hint="eastAsia" w:cs="宋体" w:asciiTheme="minorEastAsia" w:hAnsiTheme="minorEastAsia" w:eastAsiaTheme="minorEastAsia"/>
          <w:b/>
          <w:bCs/>
          <w:sz w:val="24"/>
        </w:rPr>
        <w:t>1.5服务期限、地点和方式</w:t>
      </w:r>
      <w:bookmarkEnd w:id="27"/>
      <w:bookmarkEnd w:id="28"/>
      <w:bookmarkEnd w:id="29"/>
      <w:bookmarkEnd w:id="30"/>
      <w:bookmarkEnd w:id="31"/>
    </w:p>
    <w:p w14:paraId="28E7299D">
      <w:pPr>
        <w:spacing w:line="360" w:lineRule="auto"/>
        <w:ind w:firstLine="480" w:firstLineChars="200"/>
        <w:rPr>
          <w:rFonts w:cs="宋体" w:asciiTheme="minorEastAsia" w:hAnsiTheme="minorEastAsia" w:eastAsiaTheme="minorEastAsia"/>
          <w:sz w:val="24"/>
          <w:u w:val="single"/>
        </w:rPr>
      </w:pPr>
      <w:r>
        <w:rPr>
          <w:rFonts w:hint="eastAsia" w:cs="宋体" w:asciiTheme="minorEastAsia" w:hAnsiTheme="minorEastAsia" w:eastAsiaTheme="minorEastAsia"/>
          <w:sz w:val="24"/>
        </w:rPr>
        <w:t>1.5.1服务期限：</w:t>
      </w:r>
    </w:p>
    <w:p w14:paraId="102694CB">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1.5.2实施地点：</w:t>
      </w:r>
      <w:r>
        <w:rPr>
          <w:rFonts w:hint="eastAsia" w:cs="宋体" w:asciiTheme="minorEastAsia" w:hAnsiTheme="minorEastAsia" w:eastAsiaTheme="minorEastAsia"/>
          <w:sz w:val="24"/>
          <w:lang w:val="zh-CN"/>
        </w:rPr>
        <w:t>西安市文物局项目</w:t>
      </w:r>
      <w:r>
        <w:rPr>
          <w:rFonts w:hint="eastAsia" w:cs="宋体" w:asciiTheme="minorEastAsia" w:hAnsiTheme="minorEastAsia" w:eastAsiaTheme="minorEastAsia"/>
          <w:sz w:val="24"/>
        </w:rPr>
        <w:t>地点</w:t>
      </w:r>
    </w:p>
    <w:p w14:paraId="1AD0AC6C">
      <w:pPr>
        <w:spacing w:line="360" w:lineRule="auto"/>
        <w:ind w:firstLine="482" w:firstLineChars="200"/>
        <w:rPr>
          <w:rFonts w:cs="宋体" w:asciiTheme="minorEastAsia" w:hAnsiTheme="minorEastAsia" w:eastAsiaTheme="minorEastAsia"/>
          <w:b/>
          <w:bCs/>
          <w:sz w:val="24"/>
        </w:rPr>
      </w:pPr>
      <w:bookmarkStart w:id="32" w:name="_Toc7580"/>
      <w:bookmarkStart w:id="33" w:name="_Toc23398"/>
      <w:bookmarkStart w:id="34" w:name="_Toc19554"/>
      <w:bookmarkStart w:id="35" w:name="_Toc27250"/>
      <w:bookmarkStart w:id="36" w:name="_Toc21423"/>
      <w:r>
        <w:rPr>
          <w:rFonts w:hint="eastAsia" w:cs="宋体" w:asciiTheme="minorEastAsia" w:hAnsiTheme="minorEastAsia" w:eastAsiaTheme="minorEastAsia"/>
          <w:b/>
          <w:bCs/>
          <w:sz w:val="24"/>
        </w:rPr>
        <w:t>1.6违约责任</w:t>
      </w:r>
      <w:bookmarkEnd w:id="32"/>
      <w:bookmarkEnd w:id="33"/>
      <w:bookmarkEnd w:id="34"/>
      <w:bookmarkEnd w:id="35"/>
      <w:bookmarkEnd w:id="36"/>
    </w:p>
    <w:p w14:paraId="2DD42A3F">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1.6.1除不可抗力外，如果乙方没有按照本合同约定的期限、地点和方式提供服务，甲方有权要求乙方承担违约金。</w:t>
      </w:r>
    </w:p>
    <w:p w14:paraId="3B650351">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1.6.2除不可抗力外，如果甲方没有按照本合同约定的付款方式付款，乙方有权要求甲方承担逾期滞纳金。</w:t>
      </w:r>
    </w:p>
    <w:p w14:paraId="2514631D">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1.6.3如果出现政府采购监督管理部门在处理投诉事项期间，书面通知甲方暂停采购活动的情形，或者询问或质疑事项可能影响中标结果的，导致甲方中止履行合同的情形，均不视为甲方违约。</w:t>
      </w:r>
    </w:p>
    <w:p w14:paraId="5410C7C0">
      <w:pPr>
        <w:spacing w:line="360" w:lineRule="auto"/>
        <w:ind w:firstLine="482" w:firstLineChars="200"/>
        <w:rPr>
          <w:rFonts w:cs="宋体" w:asciiTheme="minorEastAsia" w:hAnsiTheme="minorEastAsia" w:eastAsiaTheme="minorEastAsia"/>
          <w:b/>
          <w:bCs/>
          <w:sz w:val="24"/>
        </w:rPr>
      </w:pPr>
      <w:bookmarkStart w:id="37" w:name="_Toc16021"/>
      <w:bookmarkStart w:id="38" w:name="_Toc28375"/>
      <w:bookmarkStart w:id="39" w:name="_Toc15583"/>
      <w:bookmarkStart w:id="40" w:name="_Toc31257"/>
      <w:bookmarkStart w:id="41" w:name="_Toc26424"/>
      <w:r>
        <w:rPr>
          <w:rFonts w:hint="eastAsia" w:cs="宋体" w:asciiTheme="minorEastAsia" w:hAnsiTheme="minorEastAsia" w:eastAsiaTheme="minorEastAsia"/>
          <w:b/>
          <w:bCs/>
          <w:sz w:val="24"/>
        </w:rPr>
        <w:t>1.7合同争议的解决</w:t>
      </w:r>
      <w:bookmarkEnd w:id="37"/>
      <w:bookmarkEnd w:id="38"/>
      <w:bookmarkEnd w:id="39"/>
      <w:bookmarkEnd w:id="40"/>
      <w:bookmarkEnd w:id="41"/>
    </w:p>
    <w:p w14:paraId="5EAC0BFA">
      <w:pPr>
        <w:spacing w:line="360" w:lineRule="auto"/>
        <w:ind w:firstLine="482"/>
        <w:rPr>
          <w:rFonts w:cs="宋体" w:asciiTheme="minorEastAsia" w:hAnsiTheme="minorEastAsia" w:eastAsiaTheme="minorEastAsia"/>
          <w:sz w:val="24"/>
        </w:rPr>
      </w:pPr>
      <w:r>
        <w:rPr>
          <w:rFonts w:hint="eastAsia" w:cs="宋体" w:asciiTheme="minorEastAsia" w:hAnsiTheme="minorEastAsia" w:eastAsiaTheme="minorEastAsia"/>
          <w:sz w:val="24"/>
        </w:rPr>
        <w:t>本合同履行过程中发生的任何争议，双方当事人均可通过和解或者调解解决；不愿和解、调解或者和解、调解不成的，可以选择下列第1.7.2种方式解决：</w:t>
      </w:r>
    </w:p>
    <w:p w14:paraId="5B99B81E">
      <w:pPr>
        <w:spacing w:line="360" w:lineRule="auto"/>
        <w:ind w:firstLine="482"/>
        <w:rPr>
          <w:rFonts w:cs="宋体" w:asciiTheme="minorEastAsia" w:hAnsiTheme="minorEastAsia" w:eastAsiaTheme="minorEastAsia"/>
          <w:sz w:val="24"/>
        </w:rPr>
      </w:pPr>
      <w:r>
        <w:rPr>
          <w:rFonts w:hint="eastAsia" w:cs="宋体" w:asciiTheme="minorEastAsia" w:hAnsiTheme="minorEastAsia" w:eastAsiaTheme="minorEastAsia"/>
          <w:sz w:val="24"/>
        </w:rPr>
        <w:t>1.7.1将争议提交仲裁委员会依申请仲裁时其现行有效的仲裁规则裁决；</w:t>
      </w:r>
    </w:p>
    <w:p w14:paraId="4F61158A">
      <w:pPr>
        <w:spacing w:line="360" w:lineRule="auto"/>
        <w:ind w:firstLine="480"/>
        <w:rPr>
          <w:rFonts w:cs="宋体" w:asciiTheme="minorEastAsia" w:hAnsiTheme="minorEastAsia" w:eastAsiaTheme="minorEastAsia"/>
          <w:sz w:val="24"/>
          <w:highlight w:val="lightGray"/>
        </w:rPr>
      </w:pPr>
      <w:r>
        <w:rPr>
          <w:rFonts w:hint="eastAsia" w:cs="宋体" w:asciiTheme="minorEastAsia" w:hAnsiTheme="minorEastAsia" w:eastAsiaTheme="minorEastAsia"/>
          <w:sz w:val="24"/>
        </w:rPr>
        <w:t>1.7.2向</w:t>
      </w:r>
      <w:r>
        <w:rPr>
          <w:rFonts w:hint="eastAsia" w:cs="宋体" w:asciiTheme="minorEastAsia" w:hAnsiTheme="minorEastAsia" w:eastAsiaTheme="minorEastAsia"/>
          <w:sz w:val="24"/>
          <w:u w:val="single"/>
        </w:rPr>
        <w:t>西安市未央区</w:t>
      </w:r>
      <w:r>
        <w:rPr>
          <w:rFonts w:hint="eastAsia" w:cs="宋体" w:asciiTheme="minorEastAsia" w:hAnsiTheme="minorEastAsia" w:eastAsiaTheme="minorEastAsia"/>
          <w:sz w:val="24"/>
        </w:rPr>
        <w:t>人民法院起诉。</w:t>
      </w:r>
    </w:p>
    <w:p w14:paraId="1F46B55A">
      <w:pPr>
        <w:spacing w:line="360" w:lineRule="auto"/>
        <w:ind w:firstLine="482" w:firstLineChars="200"/>
        <w:rPr>
          <w:rFonts w:cs="宋体" w:asciiTheme="minorEastAsia" w:hAnsiTheme="minorEastAsia" w:eastAsiaTheme="minorEastAsia"/>
          <w:b/>
          <w:bCs/>
          <w:sz w:val="24"/>
        </w:rPr>
      </w:pPr>
      <w:bookmarkStart w:id="42" w:name="_Toc7245"/>
      <w:bookmarkStart w:id="43" w:name="_Toc11867"/>
      <w:bookmarkStart w:id="44" w:name="_Toc10056"/>
      <w:bookmarkStart w:id="45" w:name="_Toc11173"/>
      <w:bookmarkStart w:id="46" w:name="_Toc15322"/>
      <w:r>
        <w:rPr>
          <w:rFonts w:hint="eastAsia" w:cs="宋体" w:asciiTheme="minorEastAsia" w:hAnsiTheme="minorEastAsia" w:eastAsiaTheme="minorEastAsia"/>
          <w:b/>
          <w:bCs/>
          <w:sz w:val="24"/>
        </w:rPr>
        <w:t>1.8 合同份数</w:t>
      </w:r>
    </w:p>
    <w:p w14:paraId="3F00AE95">
      <w:pPr>
        <w:spacing w:line="360" w:lineRule="auto"/>
        <w:ind w:firstLine="480" w:firstLineChars="200"/>
        <w:rPr>
          <w:rFonts w:cs="宋体" w:asciiTheme="minorEastAsia" w:hAnsiTheme="minorEastAsia" w:eastAsiaTheme="minorEastAsia"/>
          <w:sz w:val="24"/>
        </w:rPr>
      </w:pPr>
      <w:r>
        <w:rPr>
          <w:rFonts w:cs="宋体" w:asciiTheme="minorEastAsia" w:hAnsiTheme="minorEastAsia" w:eastAsiaTheme="minorEastAsia"/>
          <w:sz w:val="24"/>
        </w:rPr>
        <w:t>本合同一式</w:t>
      </w:r>
      <w:r>
        <w:rPr>
          <w:rFonts w:hint="eastAsia" w:cs="宋体" w:asciiTheme="minorEastAsia" w:hAnsiTheme="minorEastAsia" w:eastAsiaTheme="minorEastAsia"/>
          <w:sz w:val="24"/>
        </w:rPr>
        <w:t>肆</w:t>
      </w:r>
      <w:r>
        <w:rPr>
          <w:rFonts w:cs="宋体" w:asciiTheme="minorEastAsia" w:hAnsiTheme="minorEastAsia" w:eastAsiaTheme="minorEastAsia"/>
          <w:sz w:val="24"/>
        </w:rPr>
        <w:t>份，具有同等法律效力，</w:t>
      </w:r>
      <w:r>
        <w:rPr>
          <w:rFonts w:hint="eastAsia" w:cs="宋体" w:asciiTheme="minorEastAsia" w:hAnsiTheme="minorEastAsia" w:eastAsiaTheme="minorEastAsia"/>
          <w:sz w:val="24"/>
        </w:rPr>
        <w:t>甲</w:t>
      </w:r>
      <w:r>
        <w:rPr>
          <w:rFonts w:cs="宋体" w:asciiTheme="minorEastAsia" w:hAnsiTheme="minorEastAsia" w:eastAsiaTheme="minorEastAsia"/>
          <w:sz w:val="24"/>
        </w:rPr>
        <w:t>方执</w:t>
      </w:r>
      <w:r>
        <w:rPr>
          <w:rFonts w:hint="eastAsia" w:cs="宋体" w:asciiTheme="minorEastAsia" w:hAnsiTheme="minorEastAsia" w:eastAsiaTheme="minorEastAsia"/>
          <w:sz w:val="24"/>
        </w:rPr>
        <w:t>贰</w:t>
      </w:r>
      <w:r>
        <w:rPr>
          <w:rFonts w:cs="宋体" w:asciiTheme="minorEastAsia" w:hAnsiTheme="minorEastAsia" w:eastAsiaTheme="minorEastAsia"/>
          <w:sz w:val="24"/>
        </w:rPr>
        <w:t>份，乙方、采购代理机构</w:t>
      </w:r>
      <w:r>
        <w:rPr>
          <w:rFonts w:hint="eastAsia" w:cs="宋体" w:asciiTheme="minorEastAsia" w:hAnsiTheme="minorEastAsia" w:eastAsiaTheme="minorEastAsia"/>
          <w:sz w:val="24"/>
        </w:rPr>
        <w:t>各</w:t>
      </w:r>
      <w:r>
        <w:rPr>
          <w:rFonts w:cs="宋体" w:asciiTheme="minorEastAsia" w:hAnsiTheme="minorEastAsia" w:eastAsiaTheme="minorEastAsia"/>
          <w:sz w:val="24"/>
        </w:rPr>
        <w:t>执</w:t>
      </w:r>
      <w:r>
        <w:rPr>
          <w:rFonts w:hint="eastAsia" w:cs="宋体" w:asciiTheme="minorEastAsia" w:hAnsiTheme="minorEastAsia" w:eastAsiaTheme="minorEastAsia"/>
          <w:sz w:val="24"/>
        </w:rPr>
        <w:t>壹</w:t>
      </w:r>
      <w:r>
        <w:rPr>
          <w:rFonts w:cs="宋体" w:asciiTheme="minorEastAsia" w:hAnsiTheme="minorEastAsia" w:eastAsiaTheme="minorEastAsia"/>
          <w:sz w:val="24"/>
        </w:rPr>
        <w:t>份。</w:t>
      </w:r>
    </w:p>
    <w:p w14:paraId="5840BB96">
      <w:pPr>
        <w:spacing w:line="360" w:lineRule="auto"/>
        <w:ind w:firstLine="480" w:firstLineChars="200"/>
        <w:rPr>
          <w:rFonts w:cs="宋体" w:asciiTheme="minorEastAsia" w:hAnsiTheme="minorEastAsia" w:eastAsiaTheme="minorEastAsia"/>
          <w:sz w:val="24"/>
        </w:rPr>
      </w:pPr>
      <w:r>
        <w:rPr>
          <w:rFonts w:cs="宋体" w:asciiTheme="minorEastAsia" w:hAnsiTheme="minorEastAsia" w:eastAsiaTheme="minorEastAsia"/>
          <w:sz w:val="24"/>
        </w:rPr>
        <w:t>合同执行完毕自动失效(合同的服务承诺长期有效)。</w:t>
      </w:r>
    </w:p>
    <w:p w14:paraId="056BB681">
      <w:pPr>
        <w:spacing w:line="360" w:lineRule="auto"/>
        <w:ind w:firstLine="482" w:firstLineChars="200"/>
        <w:rPr>
          <w:rFonts w:cs="宋体" w:asciiTheme="minorEastAsia" w:hAnsiTheme="minorEastAsia" w:eastAsiaTheme="minorEastAsia"/>
          <w:b/>
          <w:bCs/>
          <w:sz w:val="24"/>
        </w:rPr>
      </w:pPr>
      <w:r>
        <w:rPr>
          <w:rFonts w:hint="eastAsia" w:cs="宋体" w:asciiTheme="minorEastAsia" w:hAnsiTheme="minorEastAsia" w:eastAsiaTheme="minorEastAsia"/>
          <w:b/>
          <w:bCs/>
          <w:sz w:val="24"/>
        </w:rPr>
        <w:t>1.9合同订立及生效</w:t>
      </w:r>
      <w:bookmarkEnd w:id="42"/>
      <w:bookmarkEnd w:id="43"/>
      <w:bookmarkEnd w:id="44"/>
      <w:bookmarkEnd w:id="45"/>
      <w:bookmarkEnd w:id="46"/>
    </w:p>
    <w:p w14:paraId="34D80610">
      <w:pPr>
        <w:widowControl/>
        <w:snapToGrid w:val="0"/>
        <w:spacing w:line="360" w:lineRule="auto"/>
        <w:ind w:firstLine="480" w:firstLineChars="200"/>
        <w:textAlignment w:val="baseline"/>
        <w:rPr>
          <w:rFonts w:cs="宋体" w:asciiTheme="minorEastAsia" w:hAnsiTheme="minorEastAsia" w:eastAsiaTheme="minorEastAsia"/>
          <w:sz w:val="24"/>
        </w:rPr>
      </w:pPr>
      <w:r>
        <w:rPr>
          <w:rFonts w:hint="eastAsia" w:cs="宋体" w:asciiTheme="minorEastAsia" w:hAnsiTheme="minorEastAsia" w:eastAsiaTheme="minorEastAsia"/>
          <w:sz w:val="24"/>
        </w:rPr>
        <w:t>1、</w:t>
      </w:r>
      <w:r>
        <w:rPr>
          <w:rFonts w:cs="宋体" w:asciiTheme="minorEastAsia" w:hAnsiTheme="minorEastAsia" w:eastAsiaTheme="minorEastAsia"/>
          <w:sz w:val="24"/>
        </w:rPr>
        <w:t>订立时间：</w:t>
      </w:r>
      <w:r>
        <w:rPr>
          <w:rFonts w:hint="eastAsia" w:cs="宋体" w:asciiTheme="minorEastAsia" w:hAnsiTheme="minorEastAsia" w:eastAsiaTheme="minorEastAsia"/>
          <w:sz w:val="24"/>
        </w:rPr>
        <w:t>2025年   月</w:t>
      </w:r>
      <w:r>
        <w:rPr>
          <w:rFonts w:cs="宋体" w:asciiTheme="minorEastAsia" w:hAnsiTheme="minorEastAsia" w:eastAsiaTheme="minorEastAsia"/>
          <w:sz w:val="24"/>
        </w:rPr>
        <w:t xml:space="preserve">   </w:t>
      </w:r>
      <w:r>
        <w:rPr>
          <w:rFonts w:hint="eastAsia" w:cs="宋体" w:asciiTheme="minorEastAsia" w:hAnsiTheme="minorEastAsia" w:eastAsiaTheme="minorEastAsia"/>
          <w:sz w:val="24"/>
        </w:rPr>
        <w:t>日</w:t>
      </w:r>
      <w:r>
        <w:rPr>
          <w:rFonts w:cs="宋体" w:asciiTheme="minorEastAsia" w:hAnsiTheme="minorEastAsia" w:eastAsiaTheme="minorEastAsia"/>
          <w:sz w:val="24"/>
        </w:rPr>
        <w:t xml:space="preserve">   </w:t>
      </w:r>
    </w:p>
    <w:p w14:paraId="524FB801">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2、</w:t>
      </w:r>
      <w:r>
        <w:rPr>
          <w:rFonts w:cs="宋体" w:asciiTheme="minorEastAsia" w:hAnsiTheme="minorEastAsia" w:eastAsiaTheme="minorEastAsia"/>
          <w:sz w:val="24"/>
        </w:rPr>
        <w:t>订立地点：</w:t>
      </w:r>
      <w:bookmarkStart w:id="50" w:name="_GoBack"/>
      <w:bookmarkEnd w:id="50"/>
    </w:p>
    <w:p w14:paraId="6105B90C">
      <w:pPr>
        <w:spacing w:line="360" w:lineRule="auto"/>
        <w:ind w:firstLine="480"/>
        <w:rPr>
          <w:rFonts w:cs="宋体" w:asciiTheme="minorEastAsia" w:hAnsiTheme="minorEastAsia" w:eastAsiaTheme="minorEastAsia"/>
          <w:sz w:val="24"/>
        </w:rPr>
      </w:pPr>
      <w:r>
        <w:rPr>
          <w:rFonts w:hint="eastAsia" w:cs="宋体" w:asciiTheme="minorEastAsia" w:hAnsiTheme="minorEastAsia" w:eastAsiaTheme="minorEastAsia"/>
          <w:sz w:val="24"/>
        </w:rPr>
        <w:t>3、本合同自双方签字盖章后生效至双方义务履行完毕时止。</w:t>
      </w:r>
    </w:p>
    <w:p w14:paraId="4EEDEBB9">
      <w:pPr>
        <w:widowControl/>
        <w:adjustRightInd w:val="0"/>
        <w:snapToGrid w:val="0"/>
        <w:spacing w:line="360" w:lineRule="auto"/>
        <w:ind w:firstLine="482" w:firstLineChars="200"/>
        <w:jc w:val="left"/>
        <w:rPr>
          <w:rFonts w:cs="宋体" w:asciiTheme="minorEastAsia" w:hAnsiTheme="minorEastAsia" w:eastAsiaTheme="minorEastAsia"/>
          <w:b/>
          <w:bCs/>
          <w:sz w:val="24"/>
        </w:rPr>
      </w:pPr>
      <w:bookmarkStart w:id="47" w:name="_Toc16567"/>
      <w:bookmarkStart w:id="48" w:name="_Toc16990"/>
      <w:r>
        <w:rPr>
          <w:rFonts w:hint="eastAsia" w:cs="宋体" w:asciiTheme="minorEastAsia" w:hAnsiTheme="minorEastAsia" w:eastAsiaTheme="minorEastAsia"/>
          <w:b/>
          <w:bCs/>
          <w:sz w:val="24"/>
          <w:lang w:val="zh-CN"/>
        </w:rPr>
        <w:t>1.10</w:t>
      </w:r>
      <w:r>
        <w:rPr>
          <w:rFonts w:hint="eastAsia" w:cs="宋体" w:asciiTheme="minorEastAsia" w:hAnsiTheme="minorEastAsia" w:eastAsiaTheme="minorEastAsia"/>
          <w:b/>
          <w:bCs/>
          <w:sz w:val="24"/>
        </w:rPr>
        <w:t>以下合同专用条款、附件为本合同的组成部分，具有同等法律效力。</w:t>
      </w:r>
    </w:p>
    <w:p w14:paraId="5BDC9B0A">
      <w:pPr>
        <w:widowControl/>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合同专用条款</w:t>
      </w:r>
    </w:p>
    <w:p w14:paraId="151AB7D9">
      <w:pPr>
        <w:spacing w:line="360" w:lineRule="auto"/>
        <w:ind w:firstLine="480" w:firstLineChars="200"/>
        <w:rPr>
          <w:rFonts w:cs="宋体" w:asciiTheme="minorEastAsia" w:hAnsiTheme="minorEastAsia" w:eastAsiaTheme="minorEastAsia"/>
          <w:b/>
          <w:bCs/>
          <w:sz w:val="24"/>
          <w:lang w:val="zh-CN"/>
        </w:rPr>
      </w:pPr>
      <w:r>
        <w:rPr>
          <w:rFonts w:hint="eastAsia" w:cs="宋体" w:asciiTheme="minorEastAsia" w:hAnsiTheme="minorEastAsia" w:eastAsiaTheme="minorEastAsia"/>
          <w:sz w:val="24"/>
        </w:rPr>
        <w:t>附件：分项报价表</w:t>
      </w:r>
    </w:p>
    <w:p w14:paraId="6D62BDD8">
      <w:pPr>
        <w:spacing w:line="360" w:lineRule="auto"/>
        <w:rPr>
          <w:rFonts w:cs="宋体" w:asciiTheme="minorEastAsia" w:hAnsiTheme="minorEastAsia" w:eastAsiaTheme="minorEastAsia"/>
          <w:b/>
          <w:bCs/>
          <w:sz w:val="24"/>
          <w:lang w:val="zh-CN"/>
        </w:rPr>
      </w:pPr>
    </w:p>
    <w:bookmarkEnd w:id="47"/>
    <w:bookmarkEnd w:id="48"/>
    <w:p w14:paraId="60C4EB0A">
      <w:pPr>
        <w:spacing w:line="360" w:lineRule="auto"/>
        <w:rPr>
          <w:rFonts w:cs="宋体" w:asciiTheme="minorEastAsia" w:hAnsiTheme="minorEastAsia" w:eastAsiaTheme="minorEastAsia"/>
          <w:sz w:val="24"/>
          <w:lang w:val="zh-CN"/>
        </w:rPr>
      </w:pPr>
      <w:r>
        <w:rPr>
          <w:rFonts w:hint="eastAsia" w:cs="宋体" w:asciiTheme="minorEastAsia" w:hAnsiTheme="minorEastAsia" w:eastAsiaTheme="minorEastAsia"/>
          <w:b/>
          <w:bCs/>
          <w:sz w:val="24"/>
          <w:lang w:val="zh-CN"/>
        </w:rPr>
        <w:t>甲方</w:t>
      </w:r>
      <w:r>
        <w:rPr>
          <w:rFonts w:hint="eastAsia" w:cs="宋体" w:asciiTheme="minorEastAsia" w:hAnsiTheme="minorEastAsia" w:eastAsiaTheme="minorEastAsia"/>
          <w:b/>
          <w:bCs/>
          <w:sz w:val="24"/>
        </w:rPr>
        <w:t xml:space="preserve">：                               </w:t>
      </w:r>
      <w:r>
        <w:rPr>
          <w:rFonts w:hint="eastAsia" w:cs="宋体" w:asciiTheme="minorEastAsia" w:hAnsiTheme="minorEastAsia" w:eastAsiaTheme="minorEastAsia"/>
          <w:b/>
          <w:bCs/>
          <w:sz w:val="24"/>
          <w:lang w:val="zh-CN"/>
        </w:rPr>
        <w:t>乙方</w:t>
      </w:r>
      <w:r>
        <w:rPr>
          <w:rFonts w:hint="eastAsia" w:cs="宋体" w:asciiTheme="minorEastAsia" w:hAnsiTheme="minorEastAsia" w:eastAsiaTheme="minorEastAsia"/>
          <w:b/>
          <w:bCs/>
          <w:sz w:val="24"/>
        </w:rPr>
        <w:t>：</w:t>
      </w:r>
    </w:p>
    <w:p w14:paraId="5352023C">
      <w:pPr>
        <w:spacing w:line="360" w:lineRule="auto"/>
        <w:rPr>
          <w:rFonts w:cs="宋体" w:asciiTheme="minorEastAsia" w:hAnsiTheme="minorEastAsia" w:eastAsiaTheme="minorEastAsia"/>
          <w:sz w:val="24"/>
        </w:rPr>
      </w:pPr>
      <w:r>
        <w:rPr>
          <w:rFonts w:hint="eastAsia" w:cs="宋体" w:asciiTheme="minorEastAsia" w:hAnsiTheme="minorEastAsia" w:eastAsiaTheme="minorEastAsia"/>
          <w:sz w:val="24"/>
          <w:lang w:val="zh-CN"/>
        </w:rPr>
        <w:t>法定代表人或法定代表人</w:t>
      </w:r>
      <w:r>
        <w:rPr>
          <w:rFonts w:hint="eastAsia" w:cs="宋体" w:asciiTheme="minorEastAsia" w:hAnsiTheme="minorEastAsia" w:eastAsiaTheme="minorEastAsia"/>
          <w:sz w:val="24"/>
        </w:rPr>
        <w:t xml:space="preserve">               </w:t>
      </w:r>
      <w:r>
        <w:rPr>
          <w:rFonts w:hint="eastAsia" w:cs="宋体" w:asciiTheme="minorEastAsia" w:hAnsiTheme="minorEastAsia" w:eastAsiaTheme="minorEastAsia"/>
          <w:sz w:val="24"/>
          <w:lang w:val="zh-CN"/>
        </w:rPr>
        <w:t>法定代表人或法定代表人</w:t>
      </w:r>
    </w:p>
    <w:p w14:paraId="0CD7C5FB">
      <w:pPr>
        <w:spacing w:line="360" w:lineRule="auto"/>
        <w:rPr>
          <w:rFonts w:cs="宋体" w:asciiTheme="minorEastAsia" w:hAnsiTheme="minorEastAsia" w:eastAsiaTheme="minorEastAsia"/>
          <w:sz w:val="24"/>
          <w:lang w:val="zh-CN"/>
        </w:rPr>
      </w:pPr>
      <w:r>
        <w:rPr>
          <w:rFonts w:hint="eastAsia" w:cs="宋体" w:asciiTheme="minorEastAsia" w:hAnsiTheme="minorEastAsia" w:eastAsiaTheme="minorEastAsia"/>
          <w:sz w:val="24"/>
          <w:lang w:val="zh-CN"/>
        </w:rPr>
        <w:t>授权代表（签字或盖章）:              授权代表（签字或盖章）：</w:t>
      </w:r>
    </w:p>
    <w:p w14:paraId="6D06B3FA">
      <w:pPr>
        <w:spacing w:line="360" w:lineRule="auto"/>
        <w:rPr>
          <w:rFonts w:cs="宋体" w:asciiTheme="minorEastAsia" w:hAnsiTheme="minorEastAsia" w:eastAsiaTheme="minorEastAsia"/>
          <w:sz w:val="24"/>
          <w:lang w:val="zh-CN"/>
        </w:rPr>
      </w:pPr>
    </w:p>
    <w:p w14:paraId="647D0037">
      <w:pPr>
        <w:spacing w:line="360" w:lineRule="exact"/>
        <w:ind w:left="5136" w:hanging="5136" w:hangingChars="2140"/>
        <w:rPr>
          <w:rFonts w:cs="宋体" w:asciiTheme="minorEastAsia" w:hAnsiTheme="minorEastAsia" w:eastAsiaTheme="minorEastAsia"/>
          <w:sz w:val="24"/>
          <w:lang w:val="zh-CN"/>
        </w:rPr>
      </w:pPr>
      <w:r>
        <w:rPr>
          <w:rFonts w:hint="eastAsia" w:cs="宋体" w:asciiTheme="minorEastAsia" w:hAnsiTheme="minorEastAsia" w:eastAsiaTheme="minorEastAsia"/>
          <w:sz w:val="24"/>
          <w:lang w:val="zh-CN"/>
        </w:rPr>
        <w:t xml:space="preserve">地址:    </w:t>
      </w:r>
      <w:r>
        <w:rPr>
          <w:rFonts w:hint="eastAsia" w:cs="宋体" w:asciiTheme="minorEastAsia" w:hAnsiTheme="minorEastAsia" w:eastAsiaTheme="minorEastAsia"/>
          <w:sz w:val="24"/>
        </w:rPr>
        <w:t xml:space="preserve">                            </w:t>
      </w:r>
      <w:r>
        <w:rPr>
          <w:rFonts w:hint="eastAsia" w:cs="宋体" w:asciiTheme="minorEastAsia" w:hAnsiTheme="minorEastAsia" w:eastAsiaTheme="minorEastAsia"/>
          <w:sz w:val="24"/>
          <w:lang w:val="zh-CN"/>
        </w:rPr>
        <w:t>地址:</w:t>
      </w:r>
    </w:p>
    <w:p w14:paraId="37812FA3">
      <w:pPr>
        <w:spacing w:line="600" w:lineRule="exact"/>
        <w:rPr>
          <w:rFonts w:cs="宋体" w:asciiTheme="minorEastAsia" w:hAnsiTheme="minorEastAsia" w:eastAsiaTheme="minorEastAsia"/>
          <w:sz w:val="24"/>
          <w:lang w:val="zh-CN"/>
        </w:rPr>
      </w:pPr>
      <w:r>
        <w:rPr>
          <w:rFonts w:hint="eastAsia" w:cs="宋体" w:asciiTheme="minorEastAsia" w:hAnsiTheme="minorEastAsia" w:eastAsiaTheme="minorEastAsia"/>
          <w:sz w:val="24"/>
          <w:lang w:val="zh-CN"/>
        </w:rPr>
        <w:t xml:space="preserve">电话:                            </w:t>
      </w:r>
      <w:r>
        <w:rPr>
          <w:rFonts w:hint="eastAsia" w:cs="宋体" w:asciiTheme="minorEastAsia" w:hAnsiTheme="minorEastAsia" w:eastAsiaTheme="minorEastAsia"/>
          <w:sz w:val="24"/>
        </w:rPr>
        <w:t xml:space="preserve">    </w:t>
      </w:r>
      <w:r>
        <w:rPr>
          <w:rFonts w:hint="eastAsia" w:cs="宋体" w:asciiTheme="minorEastAsia" w:hAnsiTheme="minorEastAsia" w:eastAsiaTheme="minorEastAsia"/>
          <w:sz w:val="24"/>
          <w:lang w:val="zh-CN"/>
        </w:rPr>
        <w:t>电话:</w:t>
      </w:r>
    </w:p>
    <w:p w14:paraId="444FBCA1">
      <w:pPr>
        <w:spacing w:line="600" w:lineRule="exact"/>
        <w:rPr>
          <w:rFonts w:cs="宋体" w:asciiTheme="minorEastAsia" w:hAnsiTheme="minorEastAsia" w:eastAsiaTheme="minorEastAsia"/>
          <w:sz w:val="24"/>
          <w:lang w:val="zh-CN"/>
        </w:rPr>
      </w:pPr>
      <w:r>
        <w:rPr>
          <w:rFonts w:hint="eastAsia" w:cs="宋体" w:asciiTheme="minorEastAsia" w:hAnsiTheme="minorEastAsia" w:eastAsiaTheme="minorEastAsia"/>
          <w:sz w:val="24"/>
          <w:lang w:val="zh-CN"/>
        </w:rPr>
        <w:t>开户银行：</w:t>
      </w:r>
      <w:r>
        <w:rPr>
          <w:rFonts w:hint="eastAsia" w:cs="宋体" w:asciiTheme="minorEastAsia" w:hAnsiTheme="minorEastAsia" w:eastAsiaTheme="minorEastAsia"/>
          <w:sz w:val="24"/>
        </w:rPr>
        <w:t xml:space="preserve">   </w:t>
      </w:r>
      <w:r>
        <w:rPr>
          <w:rFonts w:hint="eastAsia" w:cs="宋体" w:asciiTheme="minorEastAsia" w:hAnsiTheme="minorEastAsia" w:eastAsiaTheme="minorEastAsia"/>
          <w:sz w:val="24"/>
          <w:lang w:val="zh-CN"/>
        </w:rPr>
        <w:t xml:space="preserve">   </w:t>
      </w:r>
      <w:r>
        <w:rPr>
          <w:rFonts w:hint="eastAsia" w:cs="宋体" w:asciiTheme="minorEastAsia" w:hAnsiTheme="minorEastAsia" w:eastAsiaTheme="minorEastAsia"/>
          <w:sz w:val="24"/>
        </w:rPr>
        <w:t xml:space="preserve"> </w:t>
      </w:r>
      <w:r>
        <w:rPr>
          <w:rFonts w:hint="eastAsia" w:cs="宋体" w:asciiTheme="minorEastAsia" w:hAnsiTheme="minorEastAsia" w:eastAsiaTheme="minorEastAsia"/>
          <w:sz w:val="24"/>
          <w:lang w:val="zh-CN"/>
        </w:rPr>
        <w:t xml:space="preserve">    </w:t>
      </w:r>
      <w:r>
        <w:rPr>
          <w:rFonts w:hint="eastAsia" w:cs="宋体" w:asciiTheme="minorEastAsia" w:hAnsiTheme="minorEastAsia" w:eastAsiaTheme="minorEastAsia"/>
          <w:sz w:val="24"/>
        </w:rPr>
        <w:t xml:space="preserve">                </w:t>
      </w:r>
      <w:r>
        <w:rPr>
          <w:rFonts w:hint="eastAsia" w:cs="宋体" w:asciiTheme="minorEastAsia" w:hAnsiTheme="minorEastAsia" w:eastAsiaTheme="minorEastAsia"/>
          <w:sz w:val="24"/>
          <w:lang w:val="zh-CN"/>
        </w:rPr>
        <w:t xml:space="preserve">开户银行： </w:t>
      </w:r>
    </w:p>
    <w:p w14:paraId="54E5DF88">
      <w:pPr>
        <w:spacing w:line="600" w:lineRule="exact"/>
        <w:rPr>
          <w:rFonts w:cs="宋体" w:asciiTheme="minorEastAsia" w:hAnsiTheme="minorEastAsia" w:eastAsiaTheme="minorEastAsia"/>
          <w:sz w:val="24"/>
          <w:lang w:val="zh-CN"/>
        </w:rPr>
      </w:pPr>
      <w:r>
        <w:rPr>
          <w:rFonts w:hint="eastAsia" w:cs="宋体" w:asciiTheme="minorEastAsia" w:hAnsiTheme="minorEastAsia" w:eastAsiaTheme="minorEastAsia"/>
          <w:sz w:val="24"/>
          <w:lang w:val="zh-CN"/>
        </w:rPr>
        <w:t>开户名称：</w:t>
      </w:r>
      <w:r>
        <w:rPr>
          <w:rFonts w:hint="eastAsia" w:cs="宋体" w:asciiTheme="minorEastAsia" w:hAnsiTheme="minorEastAsia" w:eastAsiaTheme="minorEastAsia"/>
          <w:sz w:val="24"/>
        </w:rPr>
        <w:t xml:space="preserve">  </w:t>
      </w:r>
      <w:r>
        <w:rPr>
          <w:rFonts w:hint="eastAsia" w:cs="宋体" w:asciiTheme="minorEastAsia" w:hAnsiTheme="minorEastAsia" w:eastAsiaTheme="minorEastAsia"/>
          <w:sz w:val="24"/>
          <w:lang w:val="zh-CN"/>
        </w:rPr>
        <w:t xml:space="preserve">   </w:t>
      </w:r>
      <w:r>
        <w:rPr>
          <w:rFonts w:hint="eastAsia" w:cs="宋体" w:asciiTheme="minorEastAsia" w:hAnsiTheme="minorEastAsia" w:eastAsiaTheme="minorEastAsia"/>
          <w:sz w:val="24"/>
        </w:rPr>
        <w:t xml:space="preserve">                      </w:t>
      </w:r>
      <w:r>
        <w:rPr>
          <w:rFonts w:hint="eastAsia" w:cs="宋体" w:asciiTheme="minorEastAsia" w:hAnsiTheme="minorEastAsia" w:eastAsiaTheme="minorEastAsia"/>
          <w:sz w:val="24"/>
          <w:lang w:val="zh-CN"/>
        </w:rPr>
        <w:t xml:space="preserve">开户名称： </w:t>
      </w:r>
    </w:p>
    <w:p w14:paraId="06379834">
      <w:pPr>
        <w:spacing w:line="480" w:lineRule="auto"/>
        <w:rPr>
          <w:rFonts w:cs="宋体" w:asciiTheme="minorEastAsia" w:hAnsiTheme="minorEastAsia" w:eastAsiaTheme="minorEastAsia"/>
          <w:b/>
          <w:bCs/>
          <w:sz w:val="24"/>
        </w:rPr>
      </w:pPr>
      <w:r>
        <w:rPr>
          <w:rFonts w:hint="eastAsia" w:cs="宋体" w:asciiTheme="minorEastAsia" w:hAnsiTheme="minorEastAsia" w:eastAsiaTheme="minorEastAsia"/>
          <w:sz w:val="24"/>
          <w:lang w:val="zh-CN"/>
        </w:rPr>
        <w:t>开户账号：</w:t>
      </w:r>
      <w:r>
        <w:rPr>
          <w:rFonts w:hint="eastAsia" w:cs="宋体" w:asciiTheme="minorEastAsia" w:hAnsiTheme="minorEastAsia" w:eastAsiaTheme="minorEastAsia"/>
          <w:sz w:val="24"/>
        </w:rPr>
        <w:t xml:space="preserve">       </w:t>
      </w:r>
      <w:r>
        <w:rPr>
          <w:rFonts w:hint="eastAsia" w:cs="宋体" w:asciiTheme="minorEastAsia" w:hAnsiTheme="minorEastAsia" w:eastAsiaTheme="minorEastAsia"/>
          <w:sz w:val="24"/>
          <w:lang w:val="zh-CN"/>
        </w:rPr>
        <w:t xml:space="preserve">  </w:t>
      </w:r>
      <w:r>
        <w:rPr>
          <w:rFonts w:cs="宋体" w:asciiTheme="minorEastAsia" w:hAnsiTheme="minorEastAsia" w:eastAsiaTheme="minorEastAsia"/>
          <w:sz w:val="24"/>
        </w:rPr>
        <w:t xml:space="preserve"> </w:t>
      </w:r>
      <w:r>
        <w:rPr>
          <w:rFonts w:hint="eastAsia" w:cs="宋体" w:asciiTheme="minorEastAsia" w:hAnsiTheme="minorEastAsia" w:eastAsiaTheme="minorEastAsia"/>
          <w:sz w:val="24"/>
        </w:rPr>
        <w:t xml:space="preserve">                 </w:t>
      </w:r>
      <w:r>
        <w:rPr>
          <w:rFonts w:hint="eastAsia" w:cs="宋体" w:asciiTheme="minorEastAsia" w:hAnsiTheme="minorEastAsia" w:eastAsiaTheme="minorEastAsia"/>
          <w:sz w:val="24"/>
          <w:lang w:val="zh-CN"/>
        </w:rPr>
        <w:t>开户账号：</w:t>
      </w:r>
    </w:p>
    <w:p w14:paraId="5CC9FE1D">
      <w:pPr>
        <w:spacing w:line="360" w:lineRule="auto"/>
        <w:jc w:val="center"/>
        <w:outlineLvl w:val="1"/>
        <w:rPr>
          <w:rFonts w:cs="宋体" w:asciiTheme="minorEastAsia" w:hAnsiTheme="minorEastAsia" w:eastAsiaTheme="minorEastAsia"/>
        </w:rPr>
      </w:pPr>
      <w:bookmarkStart w:id="49" w:name="_Toc30395"/>
      <w:r>
        <w:rPr>
          <w:rFonts w:hint="eastAsia" w:cs="宋体" w:asciiTheme="minorEastAsia" w:hAnsiTheme="minorEastAsia" w:eastAsiaTheme="minorEastAsia"/>
          <w:sz w:val="24"/>
        </w:rPr>
        <w:br w:type="page"/>
      </w:r>
      <w:bookmarkEnd w:id="49"/>
    </w:p>
    <w:p w14:paraId="4888213B">
      <w:pPr>
        <w:spacing w:line="240" w:lineRule="auto"/>
        <w:jc w:val="center"/>
        <w:outlineLvl w:val="1"/>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合同专用条款</w:t>
      </w:r>
    </w:p>
    <w:p w14:paraId="389F6D82">
      <w:pPr>
        <w:spacing w:line="240" w:lineRule="auto"/>
        <w:ind w:firstLine="480" w:firstLineChars="200"/>
        <w:jc w:val="left"/>
        <w:outlineLvl w:val="1"/>
        <w:rPr>
          <w:rFonts w:cs="宋体" w:asciiTheme="minorEastAsia" w:hAnsiTheme="minorEastAsia" w:eastAsiaTheme="minorEastAsia"/>
          <w:sz w:val="24"/>
        </w:rPr>
      </w:pPr>
      <w:r>
        <w:rPr>
          <w:rFonts w:hint="eastAsia" w:cs="宋体" w:asciiTheme="minorEastAsia" w:hAnsiTheme="minorEastAsia" w:eastAsiaTheme="minorEastAsia"/>
          <w:sz w:val="24"/>
        </w:rPr>
        <w:t>本部分是对前部分的补充和修改，如果前部分和本部分的约定不一致，应以本部分的约定为准。</w:t>
      </w:r>
    </w:p>
    <w:tbl>
      <w:tblPr>
        <w:tblStyle w:val="41"/>
        <w:tblW w:w="907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16"/>
        <w:gridCol w:w="8357"/>
      </w:tblGrid>
      <w:tr w14:paraId="1FE93B4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5" w:hRule="atLeast"/>
          <w:jc w:val="center"/>
        </w:trPr>
        <w:tc>
          <w:tcPr>
            <w:tcW w:w="716" w:type="dxa"/>
            <w:tcBorders>
              <w:left w:val="single" w:color="auto" w:sz="4" w:space="0"/>
            </w:tcBorders>
            <w:vAlign w:val="center"/>
          </w:tcPr>
          <w:p w14:paraId="45104F1F">
            <w:pPr>
              <w:spacing w:line="400" w:lineRule="exact"/>
              <w:jc w:val="center"/>
              <w:rPr>
                <w:rFonts w:cs="宋体" w:asciiTheme="minorEastAsia" w:hAnsiTheme="minorEastAsia" w:eastAsiaTheme="minorEastAsia"/>
                <w:bCs/>
                <w:sz w:val="24"/>
              </w:rPr>
            </w:pPr>
            <w:r>
              <w:rPr>
                <w:rFonts w:hint="eastAsia" w:cs="宋体" w:asciiTheme="minorEastAsia" w:hAnsiTheme="minorEastAsia" w:eastAsiaTheme="minorEastAsia"/>
                <w:bCs/>
                <w:sz w:val="24"/>
              </w:rPr>
              <w:t>序号</w:t>
            </w:r>
          </w:p>
        </w:tc>
        <w:tc>
          <w:tcPr>
            <w:tcW w:w="8357" w:type="dxa"/>
            <w:vAlign w:val="center"/>
          </w:tcPr>
          <w:p w14:paraId="33A77E4C">
            <w:pPr>
              <w:spacing w:line="400" w:lineRule="exact"/>
              <w:jc w:val="center"/>
              <w:rPr>
                <w:rFonts w:cs="宋体" w:asciiTheme="minorEastAsia" w:hAnsiTheme="minorEastAsia" w:eastAsiaTheme="minorEastAsia"/>
                <w:bCs/>
                <w:sz w:val="24"/>
              </w:rPr>
            </w:pPr>
            <w:r>
              <w:rPr>
                <w:rFonts w:hint="eastAsia" w:cs="宋体" w:asciiTheme="minorEastAsia" w:hAnsiTheme="minorEastAsia" w:eastAsiaTheme="minorEastAsia"/>
                <w:bCs/>
                <w:sz w:val="24"/>
              </w:rPr>
              <w:t>约定内容</w:t>
            </w:r>
          </w:p>
        </w:tc>
      </w:tr>
      <w:tr w14:paraId="71E425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716" w:type="dxa"/>
            <w:tcBorders>
              <w:left w:val="single" w:color="auto" w:sz="4" w:space="0"/>
            </w:tcBorders>
            <w:vAlign w:val="center"/>
          </w:tcPr>
          <w:p w14:paraId="06C7342A">
            <w:pPr>
              <w:spacing w:line="4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1</w:t>
            </w:r>
          </w:p>
        </w:tc>
        <w:tc>
          <w:tcPr>
            <w:tcW w:w="8357" w:type="dxa"/>
            <w:vAlign w:val="center"/>
          </w:tcPr>
          <w:p w14:paraId="3A32653C">
            <w:pPr>
              <w:widowControl/>
              <w:spacing w:line="400" w:lineRule="exact"/>
              <w:rPr>
                <w:sz w:val="24"/>
              </w:rPr>
            </w:pPr>
            <w:r>
              <w:rPr>
                <w:rFonts w:hint="eastAsia"/>
                <w:b/>
                <w:sz w:val="24"/>
              </w:rPr>
              <w:t>知识产权：</w:t>
            </w:r>
            <w:r>
              <w:rPr>
                <w:rFonts w:hint="eastAsia"/>
                <w:sz w:val="24"/>
              </w:rPr>
              <w:t>乙方应保证所提供的服务或其任何一部分均不会侵犯任何第三方的专利权、商标权或著作权。</w:t>
            </w:r>
          </w:p>
        </w:tc>
      </w:tr>
      <w:tr w14:paraId="328FA4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16" w:type="dxa"/>
            <w:tcBorders>
              <w:left w:val="single" w:color="auto" w:sz="4" w:space="0"/>
            </w:tcBorders>
            <w:vAlign w:val="center"/>
          </w:tcPr>
          <w:p w14:paraId="0991E8DE">
            <w:pPr>
              <w:spacing w:line="4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2</w:t>
            </w:r>
          </w:p>
        </w:tc>
        <w:tc>
          <w:tcPr>
            <w:tcW w:w="8357" w:type="dxa"/>
            <w:vAlign w:val="center"/>
          </w:tcPr>
          <w:p w14:paraId="03E53A7C">
            <w:pPr>
              <w:widowControl/>
              <w:spacing w:line="400" w:lineRule="exact"/>
              <w:rPr>
                <w:sz w:val="24"/>
              </w:rPr>
            </w:pPr>
            <w:r>
              <w:rPr>
                <w:rFonts w:hint="eastAsia"/>
                <w:b/>
                <w:sz w:val="24"/>
              </w:rPr>
              <w:t>无产权瑕疵条款：</w:t>
            </w:r>
            <w:r>
              <w:rPr>
                <w:rFonts w:hint="eastAsia"/>
                <w:sz w:val="24"/>
              </w:rPr>
              <w:t>乙方保证所提供的服务的所有权完全属于乙方且无任何抵押、查封等产权瑕疵。如有产权瑕疵的，视为乙方违约。乙方应负担由此而产生的一切损失。</w:t>
            </w:r>
          </w:p>
        </w:tc>
      </w:tr>
      <w:tr w14:paraId="283D640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16" w:type="dxa"/>
            <w:tcBorders>
              <w:left w:val="single" w:color="auto" w:sz="4" w:space="0"/>
            </w:tcBorders>
            <w:vAlign w:val="center"/>
          </w:tcPr>
          <w:p w14:paraId="32A8CF2B">
            <w:pPr>
              <w:spacing w:line="4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3</w:t>
            </w:r>
          </w:p>
        </w:tc>
        <w:tc>
          <w:tcPr>
            <w:tcW w:w="8357" w:type="dxa"/>
            <w:vAlign w:val="center"/>
          </w:tcPr>
          <w:p w14:paraId="50536A28">
            <w:pPr>
              <w:widowControl/>
              <w:tabs>
                <w:tab w:val="left" w:pos="1521"/>
              </w:tabs>
              <w:spacing w:line="400" w:lineRule="exact"/>
              <w:rPr>
                <w:b/>
                <w:sz w:val="24"/>
              </w:rPr>
            </w:pPr>
            <w:r>
              <w:rPr>
                <w:b/>
                <w:sz w:val="24"/>
              </w:rPr>
              <w:t>甲方的权利和义务：</w:t>
            </w:r>
          </w:p>
          <w:p w14:paraId="3C933881">
            <w:pPr>
              <w:spacing w:line="400" w:lineRule="exact"/>
              <w:rPr>
                <w:bCs/>
                <w:sz w:val="24"/>
              </w:rPr>
            </w:pPr>
            <w:r>
              <w:rPr>
                <w:rFonts w:hint="eastAsia"/>
                <w:bCs/>
                <w:sz w:val="24"/>
              </w:rPr>
              <w:t>1、</w:t>
            </w:r>
            <w:r>
              <w:rPr>
                <w:bCs/>
                <w:sz w:val="24"/>
              </w:rPr>
              <w:t>甲方有权对合同规定范围内</w:t>
            </w:r>
            <w:r>
              <w:rPr>
                <w:rFonts w:hint="eastAsia"/>
                <w:bCs/>
                <w:sz w:val="24"/>
              </w:rPr>
              <w:t>乙方的服务行为</w:t>
            </w:r>
            <w:r>
              <w:rPr>
                <w:bCs/>
                <w:sz w:val="24"/>
              </w:rPr>
              <w:t>进行监督和检查，拥有监管权。有权定期核对乙方提供服务所配备的人员数量。对甲方认为不合理的部分有权</w:t>
            </w:r>
            <w:r>
              <w:rPr>
                <w:rFonts w:hint="eastAsia"/>
                <w:bCs/>
                <w:sz w:val="24"/>
              </w:rPr>
              <w:t>下达整改通知书，并</w:t>
            </w:r>
            <w:r>
              <w:rPr>
                <w:bCs/>
                <w:sz w:val="24"/>
              </w:rPr>
              <w:t>要求乙方</w:t>
            </w:r>
            <w:r>
              <w:rPr>
                <w:rFonts w:hint="eastAsia"/>
                <w:bCs/>
                <w:sz w:val="24"/>
              </w:rPr>
              <w:t>限期整改</w:t>
            </w:r>
            <w:r>
              <w:rPr>
                <w:bCs/>
                <w:sz w:val="24"/>
              </w:rPr>
              <w:t>。</w:t>
            </w:r>
          </w:p>
          <w:p w14:paraId="2D3EE6D0">
            <w:pPr>
              <w:spacing w:line="400" w:lineRule="exact"/>
              <w:rPr>
                <w:bCs/>
                <w:sz w:val="24"/>
              </w:rPr>
            </w:pPr>
            <w:r>
              <w:rPr>
                <w:rFonts w:hint="eastAsia"/>
                <w:bCs/>
                <w:sz w:val="24"/>
              </w:rPr>
              <w:t>2、甲方有权依据双方签订的考评办法对乙方提供的服务进行定期考评。当考评结果未达到标准时，有权依据考评办法约定的数额处罚乙方。</w:t>
            </w:r>
          </w:p>
          <w:p w14:paraId="1FC68D33">
            <w:pPr>
              <w:spacing w:line="400" w:lineRule="exact"/>
              <w:rPr>
                <w:bCs/>
                <w:sz w:val="24"/>
              </w:rPr>
            </w:pPr>
            <w:r>
              <w:rPr>
                <w:rFonts w:hint="eastAsia"/>
                <w:bCs/>
                <w:sz w:val="24"/>
              </w:rPr>
              <w:t>3、</w:t>
            </w:r>
            <w:r>
              <w:rPr>
                <w:bCs/>
                <w:sz w:val="24"/>
              </w:rPr>
              <w:t>负责检查监督乙方管理工作的实施及制度的执行情况。</w:t>
            </w:r>
          </w:p>
          <w:p w14:paraId="227A19C0">
            <w:pPr>
              <w:spacing w:line="400" w:lineRule="exact"/>
              <w:rPr>
                <w:bCs/>
                <w:sz w:val="24"/>
              </w:rPr>
            </w:pPr>
            <w:r>
              <w:rPr>
                <w:rFonts w:hint="eastAsia"/>
                <w:bCs/>
                <w:sz w:val="24"/>
              </w:rPr>
              <w:t>4、</w:t>
            </w:r>
            <w:r>
              <w:rPr>
                <w:bCs/>
                <w:sz w:val="24"/>
              </w:rPr>
              <w:t>根据本合同规定，按时向乙方支付应付</w:t>
            </w:r>
            <w:r>
              <w:rPr>
                <w:rFonts w:hint="eastAsia"/>
                <w:bCs/>
                <w:sz w:val="24"/>
              </w:rPr>
              <w:t>服务费用</w:t>
            </w:r>
            <w:r>
              <w:rPr>
                <w:bCs/>
                <w:sz w:val="24"/>
              </w:rPr>
              <w:t>。</w:t>
            </w:r>
          </w:p>
          <w:p w14:paraId="2302049E">
            <w:pPr>
              <w:spacing w:line="400" w:lineRule="exact"/>
              <w:rPr>
                <w:rFonts w:ascii="宋体" w:hAnsi="宋体" w:cs="宋体"/>
                <w:b/>
                <w:sz w:val="24"/>
              </w:rPr>
            </w:pPr>
            <w:r>
              <w:rPr>
                <w:rFonts w:hint="eastAsia"/>
                <w:bCs/>
                <w:sz w:val="24"/>
              </w:rPr>
              <w:t>5、</w:t>
            </w:r>
            <w:r>
              <w:rPr>
                <w:bCs/>
                <w:sz w:val="24"/>
              </w:rPr>
              <w:t>国家法律、法规所规定由甲方承担的其它责任。</w:t>
            </w:r>
          </w:p>
        </w:tc>
      </w:tr>
      <w:tr w14:paraId="65B7134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16" w:type="dxa"/>
            <w:tcBorders>
              <w:left w:val="single" w:color="auto" w:sz="4" w:space="0"/>
            </w:tcBorders>
            <w:vAlign w:val="center"/>
          </w:tcPr>
          <w:p w14:paraId="2C899537">
            <w:pPr>
              <w:spacing w:line="4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4</w:t>
            </w:r>
          </w:p>
        </w:tc>
        <w:tc>
          <w:tcPr>
            <w:tcW w:w="8357" w:type="dxa"/>
            <w:vAlign w:val="center"/>
          </w:tcPr>
          <w:p w14:paraId="4D476CBC">
            <w:pPr>
              <w:widowControl/>
              <w:tabs>
                <w:tab w:val="left" w:pos="1521"/>
              </w:tabs>
              <w:spacing w:line="400" w:lineRule="exact"/>
              <w:rPr>
                <w:b/>
                <w:sz w:val="24"/>
              </w:rPr>
            </w:pPr>
            <w:r>
              <w:rPr>
                <w:b/>
                <w:sz w:val="24"/>
              </w:rPr>
              <w:t>乙方的权利和义务：</w:t>
            </w:r>
          </w:p>
          <w:p w14:paraId="450BD170">
            <w:pPr>
              <w:spacing w:line="400" w:lineRule="exact"/>
              <w:rPr>
                <w:bCs/>
                <w:sz w:val="24"/>
              </w:rPr>
            </w:pPr>
            <w:r>
              <w:rPr>
                <w:rFonts w:hint="eastAsia"/>
                <w:bCs/>
                <w:sz w:val="24"/>
              </w:rPr>
              <w:t>1、</w:t>
            </w:r>
            <w:r>
              <w:rPr>
                <w:bCs/>
                <w:sz w:val="24"/>
              </w:rPr>
              <w:t>对本合同规定的委托</w:t>
            </w:r>
            <w:r>
              <w:rPr>
                <w:rFonts w:hint="eastAsia"/>
                <w:bCs/>
                <w:sz w:val="24"/>
              </w:rPr>
              <w:t>服务</w:t>
            </w:r>
            <w:r>
              <w:rPr>
                <w:bCs/>
                <w:sz w:val="24"/>
              </w:rPr>
              <w:t>范围内的</w:t>
            </w:r>
            <w:r>
              <w:rPr>
                <w:rFonts w:hint="eastAsia"/>
                <w:bCs/>
                <w:sz w:val="24"/>
              </w:rPr>
              <w:t>项目</w:t>
            </w:r>
            <w:r>
              <w:rPr>
                <w:bCs/>
                <w:sz w:val="24"/>
              </w:rPr>
              <w:t>享有管理权及服务义务。</w:t>
            </w:r>
          </w:p>
          <w:p w14:paraId="6725C22C">
            <w:pPr>
              <w:spacing w:line="400" w:lineRule="exact"/>
              <w:rPr>
                <w:bCs/>
                <w:sz w:val="24"/>
              </w:rPr>
            </w:pPr>
            <w:r>
              <w:rPr>
                <w:rFonts w:hint="eastAsia"/>
                <w:bCs/>
                <w:sz w:val="24"/>
              </w:rPr>
              <w:t>2、</w:t>
            </w:r>
            <w:r>
              <w:rPr>
                <w:bCs/>
                <w:sz w:val="24"/>
              </w:rPr>
              <w:t>根据本合同的规定向甲方收取相关</w:t>
            </w:r>
            <w:r>
              <w:rPr>
                <w:rFonts w:hint="eastAsia"/>
                <w:bCs/>
                <w:sz w:val="24"/>
              </w:rPr>
              <w:t>服务</w:t>
            </w:r>
            <w:r>
              <w:rPr>
                <w:bCs/>
                <w:sz w:val="24"/>
              </w:rPr>
              <w:t>费用，并有权</w:t>
            </w:r>
            <w:r>
              <w:rPr>
                <w:rFonts w:hint="eastAsia"/>
                <w:bCs/>
                <w:sz w:val="24"/>
              </w:rPr>
              <w:t>在本项目管理范围内</w:t>
            </w:r>
            <w:r>
              <w:rPr>
                <w:bCs/>
                <w:sz w:val="24"/>
              </w:rPr>
              <w:t>管理及合理使用。</w:t>
            </w:r>
          </w:p>
          <w:p w14:paraId="4E675E8A">
            <w:pPr>
              <w:spacing w:line="400" w:lineRule="exact"/>
              <w:rPr>
                <w:sz w:val="24"/>
              </w:rPr>
            </w:pPr>
            <w:r>
              <w:rPr>
                <w:rFonts w:hint="eastAsia"/>
                <w:sz w:val="24"/>
              </w:rPr>
              <w:t>3、及时向甲方通告本项目服务范围内有关服务的重大事项，及时配合处理投诉。</w:t>
            </w:r>
          </w:p>
          <w:p w14:paraId="6462ECC3">
            <w:pPr>
              <w:spacing w:line="400" w:lineRule="exact"/>
              <w:rPr>
                <w:bCs/>
                <w:sz w:val="24"/>
              </w:rPr>
            </w:pPr>
            <w:r>
              <w:rPr>
                <w:rFonts w:hint="eastAsia"/>
                <w:sz w:val="24"/>
              </w:rPr>
              <w:t>4、</w:t>
            </w:r>
            <w:r>
              <w:rPr>
                <w:bCs/>
                <w:sz w:val="24"/>
              </w:rPr>
              <w:t>接受</w:t>
            </w:r>
            <w:r>
              <w:rPr>
                <w:rFonts w:hint="eastAsia"/>
                <w:bCs/>
                <w:sz w:val="24"/>
              </w:rPr>
              <w:t>项目行</w:t>
            </w:r>
            <w:r>
              <w:rPr>
                <w:bCs/>
                <w:sz w:val="24"/>
              </w:rPr>
              <w:t>业管理部门及政府有关部门的指导，接受甲方的监督。</w:t>
            </w:r>
          </w:p>
          <w:p w14:paraId="470153D4">
            <w:pPr>
              <w:spacing w:line="400" w:lineRule="exact"/>
              <w:rPr>
                <w:rFonts w:ascii="宋体" w:hAnsi="宋体" w:cs="宋体"/>
                <w:sz w:val="24"/>
              </w:rPr>
            </w:pPr>
            <w:r>
              <w:rPr>
                <w:rFonts w:hint="eastAsia"/>
                <w:bCs/>
                <w:sz w:val="24"/>
              </w:rPr>
              <w:t>5、</w:t>
            </w:r>
            <w:r>
              <w:rPr>
                <w:bCs/>
                <w:sz w:val="24"/>
              </w:rPr>
              <w:t>国家法律、法规所规定由乙方承担的其它责任。</w:t>
            </w:r>
          </w:p>
        </w:tc>
      </w:tr>
      <w:tr w14:paraId="0589873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16" w:type="dxa"/>
            <w:tcBorders>
              <w:left w:val="single" w:color="auto" w:sz="4" w:space="0"/>
            </w:tcBorders>
            <w:vAlign w:val="center"/>
          </w:tcPr>
          <w:p w14:paraId="44D91F81">
            <w:pPr>
              <w:spacing w:line="4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5</w:t>
            </w:r>
          </w:p>
        </w:tc>
        <w:tc>
          <w:tcPr>
            <w:tcW w:w="8357" w:type="dxa"/>
            <w:vAlign w:val="center"/>
          </w:tcPr>
          <w:p w14:paraId="3021FD4C">
            <w:pPr>
              <w:spacing w:line="400" w:lineRule="exact"/>
              <w:rPr>
                <w:rFonts w:ascii="宋体" w:hAnsi="宋体" w:cs="宋体"/>
                <w:sz w:val="24"/>
              </w:rPr>
            </w:pPr>
            <w:r>
              <w:rPr>
                <w:rFonts w:hint="eastAsia" w:ascii="宋体" w:hAnsi="宋体" w:cs="宋体"/>
                <w:sz w:val="24"/>
              </w:rPr>
              <w:t>甲方</w:t>
            </w:r>
            <w:r>
              <w:rPr>
                <w:rFonts w:hint="eastAsia" w:cs="宋体"/>
                <w:sz w:val="24"/>
              </w:rPr>
              <w:t>不承担</w:t>
            </w:r>
            <w:r>
              <w:rPr>
                <w:rFonts w:hint="eastAsia" w:ascii="宋体" w:hAnsi="宋体" w:cs="宋体"/>
                <w:sz w:val="24"/>
              </w:rPr>
              <w:t>乙方</w:t>
            </w:r>
            <w:r>
              <w:rPr>
                <w:rFonts w:hint="eastAsia" w:cs="宋体"/>
                <w:sz w:val="24"/>
              </w:rPr>
              <w:t>在服务期间产生的劳动（劳务）纠纷的任何费用。</w:t>
            </w:r>
            <w:r>
              <w:rPr>
                <w:rFonts w:hint="eastAsia" w:ascii="宋体" w:hAnsi="宋体" w:cs="宋体"/>
                <w:sz w:val="24"/>
              </w:rPr>
              <w:t>甲方</w:t>
            </w:r>
            <w:r>
              <w:rPr>
                <w:rFonts w:hint="eastAsia" w:cs="宋体"/>
                <w:sz w:val="24"/>
              </w:rPr>
              <w:t>不承担</w:t>
            </w:r>
            <w:r>
              <w:rPr>
                <w:rFonts w:hint="eastAsia" w:ascii="宋体" w:hAnsi="宋体" w:cs="宋体"/>
                <w:sz w:val="24"/>
              </w:rPr>
              <w:t>乙方</w:t>
            </w:r>
            <w:r>
              <w:rPr>
                <w:rFonts w:hint="eastAsia" w:cs="宋体"/>
                <w:sz w:val="24"/>
              </w:rPr>
              <w:t>在服务期间产生的人身伤害等安全事故纠纷的任何费用。</w:t>
            </w:r>
          </w:p>
        </w:tc>
      </w:tr>
      <w:tr w14:paraId="3985A9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716" w:type="dxa"/>
            <w:tcBorders>
              <w:left w:val="single" w:color="auto" w:sz="4" w:space="0"/>
            </w:tcBorders>
            <w:vAlign w:val="center"/>
          </w:tcPr>
          <w:p w14:paraId="460FA777">
            <w:pPr>
              <w:spacing w:line="4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6</w:t>
            </w:r>
          </w:p>
        </w:tc>
        <w:tc>
          <w:tcPr>
            <w:tcW w:w="8357" w:type="dxa"/>
            <w:vAlign w:val="center"/>
          </w:tcPr>
          <w:p w14:paraId="277B471D">
            <w:pPr>
              <w:spacing w:line="400" w:lineRule="exact"/>
              <w:rPr>
                <w:rFonts w:ascii="宋体" w:hAnsi="宋体" w:cs="宋体"/>
                <w:sz w:val="24"/>
              </w:rPr>
            </w:pPr>
            <w:r>
              <w:rPr>
                <w:rFonts w:ascii="宋体" w:hAnsi="宋体" w:cs="宋体"/>
                <w:sz w:val="24"/>
              </w:rPr>
              <w:t>项目实施过程中如遇到突发紧急情况，</w:t>
            </w:r>
            <w:r>
              <w:rPr>
                <w:rFonts w:hint="eastAsia" w:ascii="宋体" w:hAnsi="宋体" w:cs="宋体"/>
                <w:sz w:val="24"/>
              </w:rPr>
              <w:t>乙方</w:t>
            </w:r>
            <w:r>
              <w:rPr>
                <w:rFonts w:cs="宋体"/>
                <w:sz w:val="24"/>
              </w:rPr>
              <w:t>有紧急处置能力，并制定紧急情况处置预案。</w:t>
            </w:r>
          </w:p>
        </w:tc>
      </w:tr>
      <w:tr w14:paraId="2C24D5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16" w:type="dxa"/>
            <w:tcBorders>
              <w:left w:val="single" w:color="auto" w:sz="4" w:space="0"/>
            </w:tcBorders>
            <w:vAlign w:val="center"/>
          </w:tcPr>
          <w:p w14:paraId="7511C23B">
            <w:pPr>
              <w:spacing w:line="4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7</w:t>
            </w:r>
          </w:p>
        </w:tc>
        <w:tc>
          <w:tcPr>
            <w:tcW w:w="8357" w:type="dxa"/>
            <w:vAlign w:val="center"/>
          </w:tcPr>
          <w:p w14:paraId="625592F9">
            <w:pPr>
              <w:spacing w:line="400" w:lineRule="exact"/>
              <w:rPr>
                <w:rFonts w:ascii="宋体" w:hAnsi="宋体" w:cs="宋体"/>
                <w:sz w:val="24"/>
              </w:rPr>
            </w:pPr>
            <w:r>
              <w:rPr>
                <w:rFonts w:hint="eastAsia" w:ascii="宋体" w:hAnsi="宋体" w:cs="宋体"/>
                <w:b/>
                <w:sz w:val="24"/>
              </w:rPr>
              <w:t>质量保证：</w:t>
            </w:r>
            <w:r>
              <w:rPr>
                <w:rFonts w:hint="eastAsia" w:ascii="宋体" w:hAnsi="宋体" w:cs="宋体"/>
                <w:sz w:val="24"/>
              </w:rPr>
              <w:t>乙方</w:t>
            </w:r>
            <w:r>
              <w:rPr>
                <w:rFonts w:hint="eastAsia" w:ascii="宋体" w:hAnsi="宋体"/>
                <w:color w:val="000000"/>
                <w:sz w:val="24"/>
              </w:rPr>
              <w:t>应当保证服务内容质量完全符合采购文件的要求，并对服务内容质量问题负责</w:t>
            </w:r>
            <w:r>
              <w:rPr>
                <w:rFonts w:hint="eastAsia" w:cs="宋体"/>
                <w:sz w:val="24"/>
              </w:rPr>
              <w:t>。</w:t>
            </w:r>
          </w:p>
        </w:tc>
      </w:tr>
      <w:tr w14:paraId="4665DE1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16" w:type="dxa"/>
            <w:tcBorders>
              <w:left w:val="single" w:color="auto" w:sz="4" w:space="0"/>
            </w:tcBorders>
            <w:vAlign w:val="center"/>
          </w:tcPr>
          <w:p w14:paraId="42FD53B4">
            <w:pPr>
              <w:spacing w:line="4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8</w:t>
            </w:r>
          </w:p>
        </w:tc>
        <w:tc>
          <w:tcPr>
            <w:tcW w:w="8357" w:type="dxa"/>
            <w:vAlign w:val="center"/>
          </w:tcPr>
          <w:p w14:paraId="5C9500FA">
            <w:pPr>
              <w:spacing w:line="400" w:lineRule="exact"/>
              <w:rPr>
                <w:rFonts w:ascii="宋体" w:hAnsi="宋体" w:cs="宋体"/>
                <w:sz w:val="24"/>
              </w:rPr>
            </w:pPr>
            <w:r>
              <w:rPr>
                <w:rFonts w:hint="eastAsia" w:ascii="宋体" w:hAnsi="宋体" w:cs="宋体"/>
                <w:sz w:val="24"/>
              </w:rPr>
              <w:t>采购项目执行内容需要调整时，经甲方同意后，可以对相应的内容进行调整，并协商确定价格差额计算方法和负担办法。</w:t>
            </w:r>
          </w:p>
        </w:tc>
      </w:tr>
      <w:tr w14:paraId="57A2633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16" w:type="dxa"/>
            <w:tcBorders>
              <w:left w:val="single" w:color="auto" w:sz="4" w:space="0"/>
            </w:tcBorders>
            <w:vAlign w:val="center"/>
          </w:tcPr>
          <w:p w14:paraId="1AE0B837">
            <w:pPr>
              <w:spacing w:line="4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9</w:t>
            </w:r>
          </w:p>
        </w:tc>
        <w:tc>
          <w:tcPr>
            <w:tcW w:w="8357" w:type="dxa"/>
            <w:vAlign w:val="center"/>
          </w:tcPr>
          <w:p w14:paraId="016D9494">
            <w:pPr>
              <w:spacing w:line="400" w:lineRule="exact"/>
              <w:rPr>
                <w:rFonts w:ascii="宋体" w:hAnsi="宋体" w:cs="宋体"/>
                <w:sz w:val="24"/>
              </w:rPr>
            </w:pPr>
            <w:r>
              <w:rPr>
                <w:rFonts w:hint="eastAsia" w:ascii="宋体" w:hAnsi="宋体" w:cs="宋体"/>
                <w:b/>
                <w:sz w:val="24"/>
              </w:rPr>
              <w:t>验收：</w:t>
            </w:r>
            <w:r>
              <w:rPr>
                <w:rFonts w:hint="eastAsia" w:ascii="宋体" w:hAnsi="宋体" w:cs="宋体"/>
                <w:sz w:val="24"/>
              </w:rPr>
              <w:t>达到使用条件时由甲方负责组织验收，验收合格后须交接项目实施的全部资料，并填写政府采购项目验收报告单。验收须以合同、磋商文件及响应文件、澄清及国家相应的标准、规范等为依据。</w:t>
            </w:r>
          </w:p>
        </w:tc>
      </w:tr>
      <w:tr w14:paraId="1401BB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16" w:type="dxa"/>
            <w:tcBorders>
              <w:left w:val="single" w:color="auto" w:sz="4" w:space="0"/>
            </w:tcBorders>
            <w:vAlign w:val="center"/>
          </w:tcPr>
          <w:p w14:paraId="23ED7742">
            <w:pPr>
              <w:spacing w:line="4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10</w:t>
            </w:r>
          </w:p>
        </w:tc>
        <w:tc>
          <w:tcPr>
            <w:tcW w:w="8357" w:type="dxa"/>
            <w:vAlign w:val="center"/>
          </w:tcPr>
          <w:p w14:paraId="21D910BF">
            <w:pPr>
              <w:spacing w:line="400" w:lineRule="exact"/>
              <w:rPr>
                <w:rFonts w:ascii="宋体" w:hAnsi="宋体" w:cs="宋体"/>
                <w:sz w:val="24"/>
              </w:rPr>
            </w:pPr>
            <w:r>
              <w:rPr>
                <w:rFonts w:hint="eastAsia" w:ascii="宋体" w:hAnsi="宋体" w:cs="宋体"/>
                <w:sz w:val="24"/>
              </w:rPr>
              <w:t>在发生不可抗力情况下的应对措施和解决办法：</w:t>
            </w:r>
          </w:p>
          <w:p w14:paraId="152F788E">
            <w:pPr>
              <w:spacing w:line="400" w:lineRule="exact"/>
              <w:rPr>
                <w:rFonts w:ascii="宋体" w:hAnsi="宋体" w:cs="宋体"/>
                <w:sz w:val="24"/>
              </w:rPr>
            </w:pPr>
            <w:r>
              <w:rPr>
                <w:rFonts w:cs="宋体"/>
                <w:sz w:val="24"/>
              </w:rPr>
              <w:t>双方约定不可抗力情况指：双方不可预见、不可避免、不可克服的客观情况，但不包括双方的违约或疏忽。这些事件包括但不限于：战争、严重火灾、洪水、台风、地震等。</w:t>
            </w:r>
          </w:p>
        </w:tc>
      </w:tr>
      <w:tr w14:paraId="2C68AE8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16" w:type="dxa"/>
            <w:tcBorders>
              <w:left w:val="single" w:color="auto" w:sz="4" w:space="0"/>
            </w:tcBorders>
            <w:vAlign w:val="center"/>
          </w:tcPr>
          <w:p w14:paraId="55A63B8A">
            <w:pPr>
              <w:spacing w:line="4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11</w:t>
            </w:r>
          </w:p>
        </w:tc>
        <w:tc>
          <w:tcPr>
            <w:tcW w:w="8357" w:type="dxa"/>
            <w:vAlign w:val="center"/>
          </w:tcPr>
          <w:p w14:paraId="50925FA3">
            <w:pPr>
              <w:spacing w:line="400" w:lineRule="exact"/>
              <w:rPr>
                <w:rFonts w:ascii="宋体" w:hAnsi="宋体" w:cs="宋体"/>
                <w:sz w:val="24"/>
              </w:rPr>
            </w:pPr>
            <w:r>
              <w:rPr>
                <w:rFonts w:hint="eastAsia" w:ascii="宋体" w:hAnsi="宋体" w:cs="宋体"/>
                <w:sz w:val="24"/>
              </w:rPr>
              <w:t>合同一经签订，不得擅自变更、中止或者终止合同。对确需变更、调整或者中止、终止合同的，应按规定履行相应的手续。</w:t>
            </w:r>
          </w:p>
        </w:tc>
      </w:tr>
      <w:tr w14:paraId="5CD6807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468" w:hRule="atLeast"/>
          <w:jc w:val="center"/>
        </w:trPr>
        <w:tc>
          <w:tcPr>
            <w:tcW w:w="716" w:type="dxa"/>
            <w:tcBorders>
              <w:left w:val="single" w:color="auto" w:sz="4" w:space="0"/>
            </w:tcBorders>
            <w:vAlign w:val="center"/>
          </w:tcPr>
          <w:p w14:paraId="6E08EA64">
            <w:pPr>
              <w:spacing w:line="4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12</w:t>
            </w:r>
          </w:p>
        </w:tc>
        <w:tc>
          <w:tcPr>
            <w:tcW w:w="8357" w:type="dxa"/>
            <w:vAlign w:val="center"/>
          </w:tcPr>
          <w:p w14:paraId="647FEADF">
            <w:pPr>
              <w:spacing w:line="400" w:lineRule="exact"/>
              <w:rPr>
                <w:rFonts w:ascii="宋体" w:hAnsi="宋体" w:cs="宋体"/>
                <w:sz w:val="24"/>
              </w:rPr>
            </w:pPr>
            <w:r>
              <w:rPr>
                <w:rFonts w:hint="eastAsia" w:ascii="宋体" w:hAnsi="宋体" w:cs="宋体"/>
                <w:b/>
                <w:sz w:val="24"/>
              </w:rPr>
              <w:t>违约责任：</w:t>
            </w:r>
            <w:r>
              <w:rPr>
                <w:rFonts w:hint="eastAsia" w:ascii="宋体" w:hAnsi="宋体" w:cs="宋体"/>
                <w:color w:val="000000"/>
                <w:sz w:val="24"/>
              </w:rPr>
              <w:t>依据《中华人民共和国民法典》、《中华人民共和国政府采购法》的相关条款和本合同约定，乙方全面履行合同义务或者发生违约，甲方会同采购组织机构有权终止合同，依法向乙方要求经济索赔，并报请政府采购监督管理机关进行相应的行政处罚。甲方违约的，应当赔偿给乙方造成的经济损失</w:t>
            </w:r>
            <w:r>
              <w:rPr>
                <w:rFonts w:hint="eastAsia" w:ascii="宋体" w:hAnsi="宋体" w:cs="宋体"/>
                <w:sz w:val="24"/>
              </w:rPr>
              <w:t>。</w:t>
            </w:r>
          </w:p>
        </w:tc>
      </w:tr>
    </w:tbl>
    <w:p w14:paraId="4D22FCFD">
      <w:pPr>
        <w:jc w:val="right"/>
      </w:pPr>
    </w:p>
    <w:p w14:paraId="6D0D7B6D">
      <w:pPr>
        <w:pStyle w:val="36"/>
        <w:widowControl/>
        <w:spacing w:line="360" w:lineRule="auto"/>
        <w:rPr>
          <w:rFonts w:hint="default"/>
        </w:rPr>
      </w:pPr>
    </w:p>
    <w:sectPr>
      <w:headerReference r:id="rId5" w:type="default"/>
      <w:footerReference r:id="rId6" w:type="default"/>
      <w:pgSz w:w="11906" w:h="16838"/>
      <w:pgMar w:top="1440" w:right="1800" w:bottom="1440" w:left="16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onsolas">
    <w:panose1 w:val="020B0609020204030204"/>
    <w:charset w:val="00"/>
    <w:family w:val="modern"/>
    <w:pitch w:val="default"/>
    <w:sig w:usb0="E10002FF" w:usb1="4000FCFF" w:usb2="00000009" w:usb3="00000000" w:csb0="6000019F" w:csb1="DFD7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Unicode MS">
    <w:altName w:val="Arial"/>
    <w:panose1 w:val="020B0604020202020204"/>
    <w:charset w:val="00"/>
    <w:family w:val="roman"/>
    <w:pitch w:val="default"/>
    <w:sig w:usb0="00000000" w:usb1="00000000" w:usb2="00000000" w:usb3="00000000" w:csb0="00000001" w:csb1="00000000"/>
  </w:font>
  <w:font w:name="文鼎大标宋简">
    <w:altName w:val="微软雅黑"/>
    <w:panose1 w:val="00000000000000000000"/>
    <w:charset w:val="86"/>
    <w:family w:val="modern"/>
    <w:pitch w:val="default"/>
    <w:sig w:usb0="00000000" w:usb1="00000000" w:usb2="00000000"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37461">
    <w:pPr>
      <w:pStyle w:val="29"/>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0EB50C27">
                <w:pPr>
                  <w:pStyle w:val="29"/>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60543">
    <w:pPr>
      <w:pStyle w:val="3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documentProtection w:enforcement="0"/>
  <w:defaultTabStop w:val="424"/>
  <w:drawingGridHorizontalSpacing w:val="120"/>
  <w:drawingGridVerticalSpacing w:val="163"/>
  <w:noPunctuationKerning w:val="1"/>
  <w:characterSpacingControl w:val="compressPunctuation"/>
  <w:doNotValidateAgainstSchema/>
  <w:doNotDemarcateInvalidXml/>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zBjNTEzNmVhYjFmYTFjYTgzMTM1MzFkYTYwODdjYjQifQ=="/>
  </w:docVars>
  <w:rsids>
    <w:rsidRoot w:val="00172A27"/>
    <w:rsid w:val="00000D28"/>
    <w:rsid w:val="00001DB8"/>
    <w:rsid w:val="00003241"/>
    <w:rsid w:val="00004AA3"/>
    <w:rsid w:val="00004BBE"/>
    <w:rsid w:val="00004E6C"/>
    <w:rsid w:val="00005A27"/>
    <w:rsid w:val="000076E7"/>
    <w:rsid w:val="00010A5F"/>
    <w:rsid w:val="00010ED6"/>
    <w:rsid w:val="000144B7"/>
    <w:rsid w:val="0001467E"/>
    <w:rsid w:val="00014BAE"/>
    <w:rsid w:val="00015095"/>
    <w:rsid w:val="000159C2"/>
    <w:rsid w:val="0001647E"/>
    <w:rsid w:val="00017BA3"/>
    <w:rsid w:val="00021A80"/>
    <w:rsid w:val="000239CA"/>
    <w:rsid w:val="0002705D"/>
    <w:rsid w:val="0002798B"/>
    <w:rsid w:val="000307E9"/>
    <w:rsid w:val="00031B41"/>
    <w:rsid w:val="0003239F"/>
    <w:rsid w:val="00033D6A"/>
    <w:rsid w:val="00034456"/>
    <w:rsid w:val="0003503B"/>
    <w:rsid w:val="00035FE4"/>
    <w:rsid w:val="0003760D"/>
    <w:rsid w:val="00040375"/>
    <w:rsid w:val="00040433"/>
    <w:rsid w:val="0004174F"/>
    <w:rsid w:val="00042B26"/>
    <w:rsid w:val="00043904"/>
    <w:rsid w:val="00046823"/>
    <w:rsid w:val="00050A4C"/>
    <w:rsid w:val="0005100D"/>
    <w:rsid w:val="000512D8"/>
    <w:rsid w:val="00051834"/>
    <w:rsid w:val="00055064"/>
    <w:rsid w:val="00055885"/>
    <w:rsid w:val="00056454"/>
    <w:rsid w:val="00056E1F"/>
    <w:rsid w:val="00057441"/>
    <w:rsid w:val="000620B7"/>
    <w:rsid w:val="000643E0"/>
    <w:rsid w:val="00064DDD"/>
    <w:rsid w:val="00064EA6"/>
    <w:rsid w:val="000711B0"/>
    <w:rsid w:val="000721BB"/>
    <w:rsid w:val="00072877"/>
    <w:rsid w:val="00073FD8"/>
    <w:rsid w:val="000757DF"/>
    <w:rsid w:val="00076448"/>
    <w:rsid w:val="00080102"/>
    <w:rsid w:val="00084D6B"/>
    <w:rsid w:val="00085135"/>
    <w:rsid w:val="00086F84"/>
    <w:rsid w:val="0008780A"/>
    <w:rsid w:val="00090495"/>
    <w:rsid w:val="00092452"/>
    <w:rsid w:val="0009291E"/>
    <w:rsid w:val="00092FFE"/>
    <w:rsid w:val="000953D9"/>
    <w:rsid w:val="0009633E"/>
    <w:rsid w:val="000972C3"/>
    <w:rsid w:val="000A3011"/>
    <w:rsid w:val="000A540B"/>
    <w:rsid w:val="000A71E6"/>
    <w:rsid w:val="000A7971"/>
    <w:rsid w:val="000B02D4"/>
    <w:rsid w:val="000B2A05"/>
    <w:rsid w:val="000B43DB"/>
    <w:rsid w:val="000B62F6"/>
    <w:rsid w:val="000B7F92"/>
    <w:rsid w:val="000C08A3"/>
    <w:rsid w:val="000C1704"/>
    <w:rsid w:val="000C1C5C"/>
    <w:rsid w:val="000C37D2"/>
    <w:rsid w:val="000C5E58"/>
    <w:rsid w:val="000C611D"/>
    <w:rsid w:val="000C6D29"/>
    <w:rsid w:val="000D15F0"/>
    <w:rsid w:val="000D2E62"/>
    <w:rsid w:val="000E0C49"/>
    <w:rsid w:val="000E2BD7"/>
    <w:rsid w:val="000E427B"/>
    <w:rsid w:val="000E45A7"/>
    <w:rsid w:val="000E59DE"/>
    <w:rsid w:val="000E7CAC"/>
    <w:rsid w:val="000F1AF5"/>
    <w:rsid w:val="000F2CB6"/>
    <w:rsid w:val="000F31F3"/>
    <w:rsid w:val="000F538D"/>
    <w:rsid w:val="000F5BE8"/>
    <w:rsid w:val="000F6822"/>
    <w:rsid w:val="00101947"/>
    <w:rsid w:val="00102235"/>
    <w:rsid w:val="00102373"/>
    <w:rsid w:val="00104BEA"/>
    <w:rsid w:val="00105363"/>
    <w:rsid w:val="0011178B"/>
    <w:rsid w:val="00112805"/>
    <w:rsid w:val="00112952"/>
    <w:rsid w:val="00114251"/>
    <w:rsid w:val="0011429F"/>
    <w:rsid w:val="0011529E"/>
    <w:rsid w:val="001160DB"/>
    <w:rsid w:val="00116B6A"/>
    <w:rsid w:val="00121991"/>
    <w:rsid w:val="001219E3"/>
    <w:rsid w:val="00121C8C"/>
    <w:rsid w:val="00122175"/>
    <w:rsid w:val="00123AFF"/>
    <w:rsid w:val="00123B59"/>
    <w:rsid w:val="001249F6"/>
    <w:rsid w:val="0012552D"/>
    <w:rsid w:val="001268A1"/>
    <w:rsid w:val="001308FB"/>
    <w:rsid w:val="0013386E"/>
    <w:rsid w:val="0013538B"/>
    <w:rsid w:val="00137334"/>
    <w:rsid w:val="00142285"/>
    <w:rsid w:val="001425BD"/>
    <w:rsid w:val="0014413C"/>
    <w:rsid w:val="0014465B"/>
    <w:rsid w:val="0014485C"/>
    <w:rsid w:val="00145869"/>
    <w:rsid w:val="001458C7"/>
    <w:rsid w:val="001529DB"/>
    <w:rsid w:val="00153B07"/>
    <w:rsid w:val="00155D4D"/>
    <w:rsid w:val="001616F7"/>
    <w:rsid w:val="00163347"/>
    <w:rsid w:val="00163BF1"/>
    <w:rsid w:val="00165E58"/>
    <w:rsid w:val="00170500"/>
    <w:rsid w:val="00170BE4"/>
    <w:rsid w:val="00171227"/>
    <w:rsid w:val="00172A27"/>
    <w:rsid w:val="0017387F"/>
    <w:rsid w:val="001756E4"/>
    <w:rsid w:val="0017690F"/>
    <w:rsid w:val="001802A9"/>
    <w:rsid w:val="001809E0"/>
    <w:rsid w:val="001819A4"/>
    <w:rsid w:val="00185202"/>
    <w:rsid w:val="00191BAD"/>
    <w:rsid w:val="00192AAB"/>
    <w:rsid w:val="00193E8D"/>
    <w:rsid w:val="00194E7C"/>
    <w:rsid w:val="001970DE"/>
    <w:rsid w:val="001A0B7B"/>
    <w:rsid w:val="001A18D1"/>
    <w:rsid w:val="001A2438"/>
    <w:rsid w:val="001A36BB"/>
    <w:rsid w:val="001A467E"/>
    <w:rsid w:val="001A48D0"/>
    <w:rsid w:val="001A61D8"/>
    <w:rsid w:val="001B04EB"/>
    <w:rsid w:val="001B06F6"/>
    <w:rsid w:val="001B2D5E"/>
    <w:rsid w:val="001B3B84"/>
    <w:rsid w:val="001B693F"/>
    <w:rsid w:val="001C03FE"/>
    <w:rsid w:val="001C07A3"/>
    <w:rsid w:val="001D1A79"/>
    <w:rsid w:val="001D25A8"/>
    <w:rsid w:val="001D3D68"/>
    <w:rsid w:val="001D5702"/>
    <w:rsid w:val="001D640A"/>
    <w:rsid w:val="001D7AE2"/>
    <w:rsid w:val="001E17A6"/>
    <w:rsid w:val="001E1E3A"/>
    <w:rsid w:val="001E30D8"/>
    <w:rsid w:val="001E34EE"/>
    <w:rsid w:val="001E3EA4"/>
    <w:rsid w:val="001E4D31"/>
    <w:rsid w:val="001E4EF7"/>
    <w:rsid w:val="001E5978"/>
    <w:rsid w:val="001E726B"/>
    <w:rsid w:val="001F036F"/>
    <w:rsid w:val="001F13F4"/>
    <w:rsid w:val="001F1F10"/>
    <w:rsid w:val="001F3C8D"/>
    <w:rsid w:val="001F41FA"/>
    <w:rsid w:val="001F462C"/>
    <w:rsid w:val="001F48C7"/>
    <w:rsid w:val="001F4BE9"/>
    <w:rsid w:val="001F5129"/>
    <w:rsid w:val="002013DB"/>
    <w:rsid w:val="00201A01"/>
    <w:rsid w:val="00201E89"/>
    <w:rsid w:val="00202242"/>
    <w:rsid w:val="002055C9"/>
    <w:rsid w:val="00211D7D"/>
    <w:rsid w:val="002130A7"/>
    <w:rsid w:val="00213133"/>
    <w:rsid w:val="00213137"/>
    <w:rsid w:val="00214EB7"/>
    <w:rsid w:val="00215488"/>
    <w:rsid w:val="0021603C"/>
    <w:rsid w:val="002161F4"/>
    <w:rsid w:val="00217B4F"/>
    <w:rsid w:val="002203F9"/>
    <w:rsid w:val="002218D3"/>
    <w:rsid w:val="00221D02"/>
    <w:rsid w:val="002250DF"/>
    <w:rsid w:val="002259EF"/>
    <w:rsid w:val="002265BF"/>
    <w:rsid w:val="00226B3E"/>
    <w:rsid w:val="002273F4"/>
    <w:rsid w:val="00227A4A"/>
    <w:rsid w:val="0023048A"/>
    <w:rsid w:val="00230D59"/>
    <w:rsid w:val="00231AA5"/>
    <w:rsid w:val="00232B66"/>
    <w:rsid w:val="002347C8"/>
    <w:rsid w:val="00234CBA"/>
    <w:rsid w:val="002359E0"/>
    <w:rsid w:val="002369D4"/>
    <w:rsid w:val="00236CA6"/>
    <w:rsid w:val="00237B69"/>
    <w:rsid w:val="00237FEE"/>
    <w:rsid w:val="00242456"/>
    <w:rsid w:val="002436B6"/>
    <w:rsid w:val="00244E60"/>
    <w:rsid w:val="002455FE"/>
    <w:rsid w:val="002459AC"/>
    <w:rsid w:val="002472EE"/>
    <w:rsid w:val="00250F4B"/>
    <w:rsid w:val="00251D9F"/>
    <w:rsid w:val="002528DB"/>
    <w:rsid w:val="002628A7"/>
    <w:rsid w:val="00264EFA"/>
    <w:rsid w:val="002658E1"/>
    <w:rsid w:val="00266FA3"/>
    <w:rsid w:val="00272082"/>
    <w:rsid w:val="00273073"/>
    <w:rsid w:val="00273581"/>
    <w:rsid w:val="00273EFB"/>
    <w:rsid w:val="002744C0"/>
    <w:rsid w:val="00274830"/>
    <w:rsid w:val="002757D5"/>
    <w:rsid w:val="00276C35"/>
    <w:rsid w:val="00277475"/>
    <w:rsid w:val="00277A31"/>
    <w:rsid w:val="00280BBB"/>
    <w:rsid w:val="00281203"/>
    <w:rsid w:val="00285973"/>
    <w:rsid w:val="00291800"/>
    <w:rsid w:val="002918C4"/>
    <w:rsid w:val="00292101"/>
    <w:rsid w:val="00292AF0"/>
    <w:rsid w:val="002947C9"/>
    <w:rsid w:val="00295556"/>
    <w:rsid w:val="00295F8D"/>
    <w:rsid w:val="00296072"/>
    <w:rsid w:val="00297EC9"/>
    <w:rsid w:val="002A1AE7"/>
    <w:rsid w:val="002A54E7"/>
    <w:rsid w:val="002A5CC8"/>
    <w:rsid w:val="002A6719"/>
    <w:rsid w:val="002A7249"/>
    <w:rsid w:val="002B192B"/>
    <w:rsid w:val="002B4D34"/>
    <w:rsid w:val="002B4DBF"/>
    <w:rsid w:val="002B4E57"/>
    <w:rsid w:val="002B5F2A"/>
    <w:rsid w:val="002B61C1"/>
    <w:rsid w:val="002B7456"/>
    <w:rsid w:val="002C0A19"/>
    <w:rsid w:val="002C0E0C"/>
    <w:rsid w:val="002C1F4C"/>
    <w:rsid w:val="002C21E9"/>
    <w:rsid w:val="002C3310"/>
    <w:rsid w:val="002C374F"/>
    <w:rsid w:val="002C4C72"/>
    <w:rsid w:val="002C6068"/>
    <w:rsid w:val="002C6866"/>
    <w:rsid w:val="002C7528"/>
    <w:rsid w:val="002D03BA"/>
    <w:rsid w:val="002D12BD"/>
    <w:rsid w:val="002D289A"/>
    <w:rsid w:val="002D4D5C"/>
    <w:rsid w:val="002D584E"/>
    <w:rsid w:val="002D5AA9"/>
    <w:rsid w:val="002D5AC0"/>
    <w:rsid w:val="002D5E7D"/>
    <w:rsid w:val="002E0885"/>
    <w:rsid w:val="002E17C9"/>
    <w:rsid w:val="002E417B"/>
    <w:rsid w:val="002E7CA4"/>
    <w:rsid w:val="002F07E9"/>
    <w:rsid w:val="002F0882"/>
    <w:rsid w:val="002F2A1D"/>
    <w:rsid w:val="002F2D66"/>
    <w:rsid w:val="002F3E57"/>
    <w:rsid w:val="002F65A1"/>
    <w:rsid w:val="002F6601"/>
    <w:rsid w:val="002F7D05"/>
    <w:rsid w:val="00300BC4"/>
    <w:rsid w:val="00301519"/>
    <w:rsid w:val="00302035"/>
    <w:rsid w:val="0030473F"/>
    <w:rsid w:val="0030484D"/>
    <w:rsid w:val="00304A3A"/>
    <w:rsid w:val="00304E4C"/>
    <w:rsid w:val="00304E73"/>
    <w:rsid w:val="00305944"/>
    <w:rsid w:val="00306566"/>
    <w:rsid w:val="003069D0"/>
    <w:rsid w:val="00311885"/>
    <w:rsid w:val="00311B90"/>
    <w:rsid w:val="00315592"/>
    <w:rsid w:val="003210D9"/>
    <w:rsid w:val="00321661"/>
    <w:rsid w:val="0032398F"/>
    <w:rsid w:val="003306CB"/>
    <w:rsid w:val="00330EC6"/>
    <w:rsid w:val="0033109B"/>
    <w:rsid w:val="003336A4"/>
    <w:rsid w:val="00334197"/>
    <w:rsid w:val="003347A3"/>
    <w:rsid w:val="00340AE0"/>
    <w:rsid w:val="00344078"/>
    <w:rsid w:val="00344990"/>
    <w:rsid w:val="003454D5"/>
    <w:rsid w:val="003460EF"/>
    <w:rsid w:val="00347DF7"/>
    <w:rsid w:val="003502DB"/>
    <w:rsid w:val="003526E9"/>
    <w:rsid w:val="00353B80"/>
    <w:rsid w:val="003544B3"/>
    <w:rsid w:val="003546F7"/>
    <w:rsid w:val="003562D7"/>
    <w:rsid w:val="00357630"/>
    <w:rsid w:val="00357989"/>
    <w:rsid w:val="00362660"/>
    <w:rsid w:val="0036296C"/>
    <w:rsid w:val="00363E20"/>
    <w:rsid w:val="00364C3F"/>
    <w:rsid w:val="003656E2"/>
    <w:rsid w:val="00366CD2"/>
    <w:rsid w:val="00367024"/>
    <w:rsid w:val="00372B29"/>
    <w:rsid w:val="00372C74"/>
    <w:rsid w:val="00375971"/>
    <w:rsid w:val="0038148F"/>
    <w:rsid w:val="00381673"/>
    <w:rsid w:val="0038306E"/>
    <w:rsid w:val="00383B37"/>
    <w:rsid w:val="00383D43"/>
    <w:rsid w:val="003865D5"/>
    <w:rsid w:val="00387976"/>
    <w:rsid w:val="00387F09"/>
    <w:rsid w:val="003910A4"/>
    <w:rsid w:val="00391828"/>
    <w:rsid w:val="00391FE9"/>
    <w:rsid w:val="00392D1E"/>
    <w:rsid w:val="00393279"/>
    <w:rsid w:val="003936A1"/>
    <w:rsid w:val="00396DB9"/>
    <w:rsid w:val="003A0527"/>
    <w:rsid w:val="003A4181"/>
    <w:rsid w:val="003A420A"/>
    <w:rsid w:val="003A4638"/>
    <w:rsid w:val="003A58C4"/>
    <w:rsid w:val="003A6F4E"/>
    <w:rsid w:val="003B27BD"/>
    <w:rsid w:val="003B3AA3"/>
    <w:rsid w:val="003B3B58"/>
    <w:rsid w:val="003B55C7"/>
    <w:rsid w:val="003B6DBE"/>
    <w:rsid w:val="003C08DA"/>
    <w:rsid w:val="003C0A9D"/>
    <w:rsid w:val="003C0BF1"/>
    <w:rsid w:val="003C0E8C"/>
    <w:rsid w:val="003C12DE"/>
    <w:rsid w:val="003C1A2A"/>
    <w:rsid w:val="003C1FD4"/>
    <w:rsid w:val="003C28DE"/>
    <w:rsid w:val="003C3C63"/>
    <w:rsid w:val="003C74AE"/>
    <w:rsid w:val="003D0BD6"/>
    <w:rsid w:val="003D1591"/>
    <w:rsid w:val="003D2501"/>
    <w:rsid w:val="003D2B9F"/>
    <w:rsid w:val="003D3DD8"/>
    <w:rsid w:val="003D5C51"/>
    <w:rsid w:val="003E114C"/>
    <w:rsid w:val="003E2512"/>
    <w:rsid w:val="003E2EE4"/>
    <w:rsid w:val="003E2F64"/>
    <w:rsid w:val="003E3534"/>
    <w:rsid w:val="003E56CC"/>
    <w:rsid w:val="003E58B2"/>
    <w:rsid w:val="003E7834"/>
    <w:rsid w:val="003F059C"/>
    <w:rsid w:val="003F187A"/>
    <w:rsid w:val="003F34A4"/>
    <w:rsid w:val="003F4778"/>
    <w:rsid w:val="003F4B78"/>
    <w:rsid w:val="003F4C97"/>
    <w:rsid w:val="003F57B3"/>
    <w:rsid w:val="00400C7D"/>
    <w:rsid w:val="00402F4C"/>
    <w:rsid w:val="00406BC3"/>
    <w:rsid w:val="00407E5A"/>
    <w:rsid w:val="00412127"/>
    <w:rsid w:val="00424819"/>
    <w:rsid w:val="00426931"/>
    <w:rsid w:val="00426ECE"/>
    <w:rsid w:val="004278D3"/>
    <w:rsid w:val="00430DB6"/>
    <w:rsid w:val="004322DE"/>
    <w:rsid w:val="00432615"/>
    <w:rsid w:val="0043277A"/>
    <w:rsid w:val="0043417B"/>
    <w:rsid w:val="0043496E"/>
    <w:rsid w:val="004368CE"/>
    <w:rsid w:val="00443080"/>
    <w:rsid w:val="00443CF3"/>
    <w:rsid w:val="004449B9"/>
    <w:rsid w:val="00445A2F"/>
    <w:rsid w:val="0044624E"/>
    <w:rsid w:val="00447A75"/>
    <w:rsid w:val="0045440B"/>
    <w:rsid w:val="0045631E"/>
    <w:rsid w:val="004568DD"/>
    <w:rsid w:val="00457137"/>
    <w:rsid w:val="0046081A"/>
    <w:rsid w:val="00467943"/>
    <w:rsid w:val="00467D06"/>
    <w:rsid w:val="00467E43"/>
    <w:rsid w:val="0047102C"/>
    <w:rsid w:val="00473FBB"/>
    <w:rsid w:val="004776AB"/>
    <w:rsid w:val="004809A4"/>
    <w:rsid w:val="00481520"/>
    <w:rsid w:val="00481C11"/>
    <w:rsid w:val="00481E37"/>
    <w:rsid w:val="00483F44"/>
    <w:rsid w:val="00486A52"/>
    <w:rsid w:val="004903B2"/>
    <w:rsid w:val="004904CB"/>
    <w:rsid w:val="00490CDB"/>
    <w:rsid w:val="00490E7D"/>
    <w:rsid w:val="00492633"/>
    <w:rsid w:val="00492AFC"/>
    <w:rsid w:val="00493DE5"/>
    <w:rsid w:val="004946EC"/>
    <w:rsid w:val="004949C2"/>
    <w:rsid w:val="00494A58"/>
    <w:rsid w:val="00495095"/>
    <w:rsid w:val="00496012"/>
    <w:rsid w:val="00497386"/>
    <w:rsid w:val="00497C2D"/>
    <w:rsid w:val="00497F00"/>
    <w:rsid w:val="004A019C"/>
    <w:rsid w:val="004A1B1A"/>
    <w:rsid w:val="004A25B5"/>
    <w:rsid w:val="004A34BC"/>
    <w:rsid w:val="004A54F2"/>
    <w:rsid w:val="004A5682"/>
    <w:rsid w:val="004A65E2"/>
    <w:rsid w:val="004A6E39"/>
    <w:rsid w:val="004A79A9"/>
    <w:rsid w:val="004B0C1F"/>
    <w:rsid w:val="004B12C3"/>
    <w:rsid w:val="004B25D0"/>
    <w:rsid w:val="004B4646"/>
    <w:rsid w:val="004B4E53"/>
    <w:rsid w:val="004B75E4"/>
    <w:rsid w:val="004C1840"/>
    <w:rsid w:val="004C1A73"/>
    <w:rsid w:val="004C42D1"/>
    <w:rsid w:val="004C4EE7"/>
    <w:rsid w:val="004C5B41"/>
    <w:rsid w:val="004C7527"/>
    <w:rsid w:val="004D0AE3"/>
    <w:rsid w:val="004D0D73"/>
    <w:rsid w:val="004D1770"/>
    <w:rsid w:val="004D1C4D"/>
    <w:rsid w:val="004D260D"/>
    <w:rsid w:val="004D2710"/>
    <w:rsid w:val="004D474F"/>
    <w:rsid w:val="004D4B02"/>
    <w:rsid w:val="004D4CD1"/>
    <w:rsid w:val="004D53DC"/>
    <w:rsid w:val="004D54B3"/>
    <w:rsid w:val="004D6029"/>
    <w:rsid w:val="004D7064"/>
    <w:rsid w:val="004E10D3"/>
    <w:rsid w:val="004E30FB"/>
    <w:rsid w:val="004E432F"/>
    <w:rsid w:val="004E4443"/>
    <w:rsid w:val="004E5C52"/>
    <w:rsid w:val="004E70F5"/>
    <w:rsid w:val="004E7B1C"/>
    <w:rsid w:val="004F22DE"/>
    <w:rsid w:val="004F47E6"/>
    <w:rsid w:val="004F6F37"/>
    <w:rsid w:val="004F76E5"/>
    <w:rsid w:val="00501B01"/>
    <w:rsid w:val="00502409"/>
    <w:rsid w:val="0050275C"/>
    <w:rsid w:val="00502F27"/>
    <w:rsid w:val="0050447D"/>
    <w:rsid w:val="0050458A"/>
    <w:rsid w:val="00504E7B"/>
    <w:rsid w:val="005052D6"/>
    <w:rsid w:val="0050641B"/>
    <w:rsid w:val="00507B29"/>
    <w:rsid w:val="00507E55"/>
    <w:rsid w:val="00507FCE"/>
    <w:rsid w:val="00510282"/>
    <w:rsid w:val="005107F0"/>
    <w:rsid w:val="00510D01"/>
    <w:rsid w:val="00511EF1"/>
    <w:rsid w:val="00512581"/>
    <w:rsid w:val="005126F9"/>
    <w:rsid w:val="00516814"/>
    <w:rsid w:val="005170BC"/>
    <w:rsid w:val="005178CF"/>
    <w:rsid w:val="005179C4"/>
    <w:rsid w:val="00517F06"/>
    <w:rsid w:val="00520B0F"/>
    <w:rsid w:val="00522635"/>
    <w:rsid w:val="005234CA"/>
    <w:rsid w:val="0052452E"/>
    <w:rsid w:val="00524E8C"/>
    <w:rsid w:val="00525399"/>
    <w:rsid w:val="0052634E"/>
    <w:rsid w:val="00526475"/>
    <w:rsid w:val="0052761A"/>
    <w:rsid w:val="005317C8"/>
    <w:rsid w:val="00533701"/>
    <w:rsid w:val="00533D6B"/>
    <w:rsid w:val="00534A8F"/>
    <w:rsid w:val="00535511"/>
    <w:rsid w:val="00536FCB"/>
    <w:rsid w:val="0054094E"/>
    <w:rsid w:val="005433EB"/>
    <w:rsid w:val="00545846"/>
    <w:rsid w:val="005531EE"/>
    <w:rsid w:val="0055429D"/>
    <w:rsid w:val="00554705"/>
    <w:rsid w:val="005557AE"/>
    <w:rsid w:val="00564A73"/>
    <w:rsid w:val="00571214"/>
    <w:rsid w:val="005733D4"/>
    <w:rsid w:val="00574CAE"/>
    <w:rsid w:val="00575185"/>
    <w:rsid w:val="005775ED"/>
    <w:rsid w:val="00580205"/>
    <w:rsid w:val="005831AA"/>
    <w:rsid w:val="00583986"/>
    <w:rsid w:val="00583E4C"/>
    <w:rsid w:val="00584103"/>
    <w:rsid w:val="00584751"/>
    <w:rsid w:val="00584E59"/>
    <w:rsid w:val="00584E9A"/>
    <w:rsid w:val="0058679B"/>
    <w:rsid w:val="00594267"/>
    <w:rsid w:val="0059449D"/>
    <w:rsid w:val="005961EA"/>
    <w:rsid w:val="00597CF3"/>
    <w:rsid w:val="00597EDD"/>
    <w:rsid w:val="005A2D7E"/>
    <w:rsid w:val="005A2E89"/>
    <w:rsid w:val="005A4627"/>
    <w:rsid w:val="005A501F"/>
    <w:rsid w:val="005A5B32"/>
    <w:rsid w:val="005A5C3E"/>
    <w:rsid w:val="005B2210"/>
    <w:rsid w:val="005B5F17"/>
    <w:rsid w:val="005C0970"/>
    <w:rsid w:val="005C0D50"/>
    <w:rsid w:val="005C29ED"/>
    <w:rsid w:val="005C2F7D"/>
    <w:rsid w:val="005C4087"/>
    <w:rsid w:val="005C4623"/>
    <w:rsid w:val="005C6984"/>
    <w:rsid w:val="005D05A0"/>
    <w:rsid w:val="005D151B"/>
    <w:rsid w:val="005D24AD"/>
    <w:rsid w:val="005D52AE"/>
    <w:rsid w:val="005D532A"/>
    <w:rsid w:val="005D57EE"/>
    <w:rsid w:val="005D57F7"/>
    <w:rsid w:val="005D7B75"/>
    <w:rsid w:val="005E0982"/>
    <w:rsid w:val="005E5F01"/>
    <w:rsid w:val="005E7E05"/>
    <w:rsid w:val="005F2111"/>
    <w:rsid w:val="005F4EE9"/>
    <w:rsid w:val="005F5C39"/>
    <w:rsid w:val="00600196"/>
    <w:rsid w:val="00600602"/>
    <w:rsid w:val="00600750"/>
    <w:rsid w:val="00600E10"/>
    <w:rsid w:val="00600F8F"/>
    <w:rsid w:val="00601157"/>
    <w:rsid w:val="006036E9"/>
    <w:rsid w:val="00604F40"/>
    <w:rsid w:val="0061090F"/>
    <w:rsid w:val="0061185B"/>
    <w:rsid w:val="00611A34"/>
    <w:rsid w:val="006125A4"/>
    <w:rsid w:val="0061416C"/>
    <w:rsid w:val="006147E5"/>
    <w:rsid w:val="00614FC2"/>
    <w:rsid w:val="00617BED"/>
    <w:rsid w:val="0062054C"/>
    <w:rsid w:val="00621FA6"/>
    <w:rsid w:val="00625B61"/>
    <w:rsid w:val="00626300"/>
    <w:rsid w:val="006265E6"/>
    <w:rsid w:val="006267BA"/>
    <w:rsid w:val="00627D1C"/>
    <w:rsid w:val="00631D70"/>
    <w:rsid w:val="00632399"/>
    <w:rsid w:val="00632D1A"/>
    <w:rsid w:val="00634C30"/>
    <w:rsid w:val="00635C45"/>
    <w:rsid w:val="00637658"/>
    <w:rsid w:val="00641CB9"/>
    <w:rsid w:val="00642182"/>
    <w:rsid w:val="00645B69"/>
    <w:rsid w:val="00646141"/>
    <w:rsid w:val="00646474"/>
    <w:rsid w:val="0064768C"/>
    <w:rsid w:val="0065049B"/>
    <w:rsid w:val="00651CDD"/>
    <w:rsid w:val="00655413"/>
    <w:rsid w:val="00655A56"/>
    <w:rsid w:val="0065661F"/>
    <w:rsid w:val="006601B5"/>
    <w:rsid w:val="00660D7D"/>
    <w:rsid w:val="006614C2"/>
    <w:rsid w:val="006666BC"/>
    <w:rsid w:val="00666C4B"/>
    <w:rsid w:val="00672E8C"/>
    <w:rsid w:val="0067332C"/>
    <w:rsid w:val="00674182"/>
    <w:rsid w:val="00680795"/>
    <w:rsid w:val="006819EA"/>
    <w:rsid w:val="00682FB9"/>
    <w:rsid w:val="006914C9"/>
    <w:rsid w:val="00691F5B"/>
    <w:rsid w:val="006924CE"/>
    <w:rsid w:val="00692602"/>
    <w:rsid w:val="0069294A"/>
    <w:rsid w:val="006964FD"/>
    <w:rsid w:val="006969B2"/>
    <w:rsid w:val="00696B51"/>
    <w:rsid w:val="00696D80"/>
    <w:rsid w:val="006A03AD"/>
    <w:rsid w:val="006A37FC"/>
    <w:rsid w:val="006A472B"/>
    <w:rsid w:val="006A4E95"/>
    <w:rsid w:val="006A6629"/>
    <w:rsid w:val="006B0BC8"/>
    <w:rsid w:val="006B4860"/>
    <w:rsid w:val="006B4A16"/>
    <w:rsid w:val="006B4AC4"/>
    <w:rsid w:val="006B4B9A"/>
    <w:rsid w:val="006B60A1"/>
    <w:rsid w:val="006B62E7"/>
    <w:rsid w:val="006B7AC6"/>
    <w:rsid w:val="006B7CE5"/>
    <w:rsid w:val="006C0B0F"/>
    <w:rsid w:val="006C0C07"/>
    <w:rsid w:val="006C1E82"/>
    <w:rsid w:val="006C438D"/>
    <w:rsid w:val="006C44EE"/>
    <w:rsid w:val="006C533E"/>
    <w:rsid w:val="006C5BE1"/>
    <w:rsid w:val="006C6894"/>
    <w:rsid w:val="006C7AB2"/>
    <w:rsid w:val="006C7CD5"/>
    <w:rsid w:val="006D074F"/>
    <w:rsid w:val="006D3C35"/>
    <w:rsid w:val="006D5B15"/>
    <w:rsid w:val="006D5EC1"/>
    <w:rsid w:val="006D6A4C"/>
    <w:rsid w:val="006E00EB"/>
    <w:rsid w:val="006E02F2"/>
    <w:rsid w:val="006E053B"/>
    <w:rsid w:val="006E17A9"/>
    <w:rsid w:val="006E2B53"/>
    <w:rsid w:val="006E2B78"/>
    <w:rsid w:val="006E3317"/>
    <w:rsid w:val="006E4CE5"/>
    <w:rsid w:val="006E6D16"/>
    <w:rsid w:val="006F3496"/>
    <w:rsid w:val="006F34BD"/>
    <w:rsid w:val="006F498D"/>
    <w:rsid w:val="006F6D9E"/>
    <w:rsid w:val="006F7FBD"/>
    <w:rsid w:val="007013F9"/>
    <w:rsid w:val="007016F1"/>
    <w:rsid w:val="00703DA1"/>
    <w:rsid w:val="00705867"/>
    <w:rsid w:val="007100FA"/>
    <w:rsid w:val="0071202F"/>
    <w:rsid w:val="00713A3E"/>
    <w:rsid w:val="007144C9"/>
    <w:rsid w:val="007165F6"/>
    <w:rsid w:val="00716EC9"/>
    <w:rsid w:val="00717015"/>
    <w:rsid w:val="00722365"/>
    <w:rsid w:val="00723619"/>
    <w:rsid w:val="00723F39"/>
    <w:rsid w:val="0072410A"/>
    <w:rsid w:val="00725624"/>
    <w:rsid w:val="007263EA"/>
    <w:rsid w:val="007265AA"/>
    <w:rsid w:val="00727213"/>
    <w:rsid w:val="0072784C"/>
    <w:rsid w:val="007327A2"/>
    <w:rsid w:val="00735845"/>
    <w:rsid w:val="007372E1"/>
    <w:rsid w:val="00740C4F"/>
    <w:rsid w:val="00740D41"/>
    <w:rsid w:val="00740E29"/>
    <w:rsid w:val="0074191B"/>
    <w:rsid w:val="0074256A"/>
    <w:rsid w:val="00742711"/>
    <w:rsid w:val="007433CE"/>
    <w:rsid w:val="00744383"/>
    <w:rsid w:val="007460E4"/>
    <w:rsid w:val="007464D1"/>
    <w:rsid w:val="00746994"/>
    <w:rsid w:val="0074755E"/>
    <w:rsid w:val="0074763D"/>
    <w:rsid w:val="00750048"/>
    <w:rsid w:val="007535E1"/>
    <w:rsid w:val="007546EF"/>
    <w:rsid w:val="00756C0F"/>
    <w:rsid w:val="00757968"/>
    <w:rsid w:val="00760724"/>
    <w:rsid w:val="00760F29"/>
    <w:rsid w:val="00761AC5"/>
    <w:rsid w:val="007622D6"/>
    <w:rsid w:val="007637B4"/>
    <w:rsid w:val="00764502"/>
    <w:rsid w:val="0076504F"/>
    <w:rsid w:val="0076669E"/>
    <w:rsid w:val="00767205"/>
    <w:rsid w:val="007673AA"/>
    <w:rsid w:val="00767FC0"/>
    <w:rsid w:val="007714E7"/>
    <w:rsid w:val="00773BDE"/>
    <w:rsid w:val="00773DC2"/>
    <w:rsid w:val="00775165"/>
    <w:rsid w:val="00776221"/>
    <w:rsid w:val="0077658A"/>
    <w:rsid w:val="00776BF8"/>
    <w:rsid w:val="007777AD"/>
    <w:rsid w:val="00777DC2"/>
    <w:rsid w:val="0078079A"/>
    <w:rsid w:val="00783A04"/>
    <w:rsid w:val="00785614"/>
    <w:rsid w:val="00785943"/>
    <w:rsid w:val="00785E73"/>
    <w:rsid w:val="00786215"/>
    <w:rsid w:val="007864CA"/>
    <w:rsid w:val="007866C3"/>
    <w:rsid w:val="00786DB6"/>
    <w:rsid w:val="0078715F"/>
    <w:rsid w:val="00792C52"/>
    <w:rsid w:val="007933D9"/>
    <w:rsid w:val="00793684"/>
    <w:rsid w:val="00793D07"/>
    <w:rsid w:val="00794AE7"/>
    <w:rsid w:val="00796B83"/>
    <w:rsid w:val="00796BB9"/>
    <w:rsid w:val="00797F2F"/>
    <w:rsid w:val="007A0116"/>
    <w:rsid w:val="007A020C"/>
    <w:rsid w:val="007A0593"/>
    <w:rsid w:val="007A2D43"/>
    <w:rsid w:val="007A33B2"/>
    <w:rsid w:val="007A3D27"/>
    <w:rsid w:val="007B45D4"/>
    <w:rsid w:val="007C013C"/>
    <w:rsid w:val="007C01A6"/>
    <w:rsid w:val="007C073D"/>
    <w:rsid w:val="007C0E78"/>
    <w:rsid w:val="007C1E7A"/>
    <w:rsid w:val="007C2BBD"/>
    <w:rsid w:val="007C300E"/>
    <w:rsid w:val="007C61EC"/>
    <w:rsid w:val="007C640B"/>
    <w:rsid w:val="007C654A"/>
    <w:rsid w:val="007C6744"/>
    <w:rsid w:val="007C702C"/>
    <w:rsid w:val="007D049A"/>
    <w:rsid w:val="007D05B2"/>
    <w:rsid w:val="007D316C"/>
    <w:rsid w:val="007D493C"/>
    <w:rsid w:val="007D5534"/>
    <w:rsid w:val="007D62FE"/>
    <w:rsid w:val="007D7D69"/>
    <w:rsid w:val="007E11E5"/>
    <w:rsid w:val="007E292D"/>
    <w:rsid w:val="007E3329"/>
    <w:rsid w:val="007E3A2F"/>
    <w:rsid w:val="007E5442"/>
    <w:rsid w:val="007F0A4F"/>
    <w:rsid w:val="007F3CF4"/>
    <w:rsid w:val="007F4A80"/>
    <w:rsid w:val="007F56A3"/>
    <w:rsid w:val="0080436C"/>
    <w:rsid w:val="00805F7D"/>
    <w:rsid w:val="00807248"/>
    <w:rsid w:val="00810FEA"/>
    <w:rsid w:val="00812BD6"/>
    <w:rsid w:val="008145B9"/>
    <w:rsid w:val="00815B79"/>
    <w:rsid w:val="00817B67"/>
    <w:rsid w:val="00820299"/>
    <w:rsid w:val="00822BFF"/>
    <w:rsid w:val="0082338A"/>
    <w:rsid w:val="008237F3"/>
    <w:rsid w:val="00823EA4"/>
    <w:rsid w:val="00836A32"/>
    <w:rsid w:val="0084007B"/>
    <w:rsid w:val="00842139"/>
    <w:rsid w:val="00842C07"/>
    <w:rsid w:val="008453C4"/>
    <w:rsid w:val="008539C7"/>
    <w:rsid w:val="00854BEF"/>
    <w:rsid w:val="00856264"/>
    <w:rsid w:val="00857C5F"/>
    <w:rsid w:val="00862699"/>
    <w:rsid w:val="00863F6D"/>
    <w:rsid w:val="00866F17"/>
    <w:rsid w:val="008701D3"/>
    <w:rsid w:val="008703D6"/>
    <w:rsid w:val="008729D2"/>
    <w:rsid w:val="0087398D"/>
    <w:rsid w:val="00875264"/>
    <w:rsid w:val="00875554"/>
    <w:rsid w:val="00877D40"/>
    <w:rsid w:val="00883510"/>
    <w:rsid w:val="00884863"/>
    <w:rsid w:val="00885550"/>
    <w:rsid w:val="00885971"/>
    <w:rsid w:val="00890B23"/>
    <w:rsid w:val="00893B20"/>
    <w:rsid w:val="0089524C"/>
    <w:rsid w:val="00895F35"/>
    <w:rsid w:val="0089744B"/>
    <w:rsid w:val="008A1D96"/>
    <w:rsid w:val="008A3CD0"/>
    <w:rsid w:val="008A61BD"/>
    <w:rsid w:val="008A6929"/>
    <w:rsid w:val="008A798F"/>
    <w:rsid w:val="008B1F0E"/>
    <w:rsid w:val="008B29D2"/>
    <w:rsid w:val="008B39E1"/>
    <w:rsid w:val="008B4736"/>
    <w:rsid w:val="008B4DD3"/>
    <w:rsid w:val="008B5800"/>
    <w:rsid w:val="008B6E5C"/>
    <w:rsid w:val="008B7233"/>
    <w:rsid w:val="008B736A"/>
    <w:rsid w:val="008C0AED"/>
    <w:rsid w:val="008C206B"/>
    <w:rsid w:val="008C29C9"/>
    <w:rsid w:val="008C3779"/>
    <w:rsid w:val="008C7058"/>
    <w:rsid w:val="008D0007"/>
    <w:rsid w:val="008D00DD"/>
    <w:rsid w:val="008D14D1"/>
    <w:rsid w:val="008D1951"/>
    <w:rsid w:val="008D1A19"/>
    <w:rsid w:val="008D20A0"/>
    <w:rsid w:val="008D5AA5"/>
    <w:rsid w:val="008D5C5B"/>
    <w:rsid w:val="008D6C18"/>
    <w:rsid w:val="008E1005"/>
    <w:rsid w:val="008E1905"/>
    <w:rsid w:val="008E41E8"/>
    <w:rsid w:val="008E4C55"/>
    <w:rsid w:val="008E51ED"/>
    <w:rsid w:val="008E51FD"/>
    <w:rsid w:val="008E55B4"/>
    <w:rsid w:val="008E58EC"/>
    <w:rsid w:val="008E5ACE"/>
    <w:rsid w:val="008E65F0"/>
    <w:rsid w:val="008E67F2"/>
    <w:rsid w:val="008E7A76"/>
    <w:rsid w:val="008F134D"/>
    <w:rsid w:val="008F1BC0"/>
    <w:rsid w:val="008F1FFE"/>
    <w:rsid w:val="008F783E"/>
    <w:rsid w:val="00901173"/>
    <w:rsid w:val="00901CA1"/>
    <w:rsid w:val="00902803"/>
    <w:rsid w:val="00903514"/>
    <w:rsid w:val="00905E2C"/>
    <w:rsid w:val="00906FAA"/>
    <w:rsid w:val="00910E15"/>
    <w:rsid w:val="00914544"/>
    <w:rsid w:val="00916547"/>
    <w:rsid w:val="00917282"/>
    <w:rsid w:val="0092065B"/>
    <w:rsid w:val="00920935"/>
    <w:rsid w:val="00924989"/>
    <w:rsid w:val="00926DA1"/>
    <w:rsid w:val="00926ECE"/>
    <w:rsid w:val="00931B6D"/>
    <w:rsid w:val="009322AB"/>
    <w:rsid w:val="00932AA1"/>
    <w:rsid w:val="009339D0"/>
    <w:rsid w:val="00934EAF"/>
    <w:rsid w:val="00935672"/>
    <w:rsid w:val="009360EF"/>
    <w:rsid w:val="00937B96"/>
    <w:rsid w:val="00937CD0"/>
    <w:rsid w:val="0094011D"/>
    <w:rsid w:val="0094289F"/>
    <w:rsid w:val="00942924"/>
    <w:rsid w:val="00942D8B"/>
    <w:rsid w:val="00942E0C"/>
    <w:rsid w:val="009469AE"/>
    <w:rsid w:val="00946E9D"/>
    <w:rsid w:val="00947C97"/>
    <w:rsid w:val="009502F3"/>
    <w:rsid w:val="00952453"/>
    <w:rsid w:val="0095513C"/>
    <w:rsid w:val="00955671"/>
    <w:rsid w:val="00956136"/>
    <w:rsid w:val="0095709E"/>
    <w:rsid w:val="009620F7"/>
    <w:rsid w:val="00963561"/>
    <w:rsid w:val="009636B1"/>
    <w:rsid w:val="00965A59"/>
    <w:rsid w:val="009669B5"/>
    <w:rsid w:val="00966A2C"/>
    <w:rsid w:val="00970181"/>
    <w:rsid w:val="00970D94"/>
    <w:rsid w:val="00972775"/>
    <w:rsid w:val="00972D1C"/>
    <w:rsid w:val="0097319D"/>
    <w:rsid w:val="009738E9"/>
    <w:rsid w:val="0097461E"/>
    <w:rsid w:val="0097777A"/>
    <w:rsid w:val="00977B13"/>
    <w:rsid w:val="0098522B"/>
    <w:rsid w:val="00986FB0"/>
    <w:rsid w:val="009878DD"/>
    <w:rsid w:val="00990324"/>
    <w:rsid w:val="00990E99"/>
    <w:rsid w:val="00992BC3"/>
    <w:rsid w:val="009950BD"/>
    <w:rsid w:val="00995ED5"/>
    <w:rsid w:val="009964C9"/>
    <w:rsid w:val="00997F35"/>
    <w:rsid w:val="009A1B49"/>
    <w:rsid w:val="009A1B78"/>
    <w:rsid w:val="009A2674"/>
    <w:rsid w:val="009A34A3"/>
    <w:rsid w:val="009A43E0"/>
    <w:rsid w:val="009B1E45"/>
    <w:rsid w:val="009B29E9"/>
    <w:rsid w:val="009B2D09"/>
    <w:rsid w:val="009B58B3"/>
    <w:rsid w:val="009B5A99"/>
    <w:rsid w:val="009B6177"/>
    <w:rsid w:val="009B7A3A"/>
    <w:rsid w:val="009C0D5F"/>
    <w:rsid w:val="009C39C0"/>
    <w:rsid w:val="009C3A05"/>
    <w:rsid w:val="009C3B64"/>
    <w:rsid w:val="009C3E67"/>
    <w:rsid w:val="009C436C"/>
    <w:rsid w:val="009C519B"/>
    <w:rsid w:val="009C600A"/>
    <w:rsid w:val="009C7901"/>
    <w:rsid w:val="009C7E26"/>
    <w:rsid w:val="009D0546"/>
    <w:rsid w:val="009D181C"/>
    <w:rsid w:val="009D2917"/>
    <w:rsid w:val="009E04E8"/>
    <w:rsid w:val="009E0D98"/>
    <w:rsid w:val="009E0E94"/>
    <w:rsid w:val="009E2D39"/>
    <w:rsid w:val="009E309B"/>
    <w:rsid w:val="009E5A8B"/>
    <w:rsid w:val="009E61AF"/>
    <w:rsid w:val="009E7655"/>
    <w:rsid w:val="009F0947"/>
    <w:rsid w:val="009F14BF"/>
    <w:rsid w:val="009F3C98"/>
    <w:rsid w:val="009F54E0"/>
    <w:rsid w:val="009F651E"/>
    <w:rsid w:val="009F74DB"/>
    <w:rsid w:val="009F786B"/>
    <w:rsid w:val="009F7F34"/>
    <w:rsid w:val="00A00930"/>
    <w:rsid w:val="00A023C4"/>
    <w:rsid w:val="00A046D6"/>
    <w:rsid w:val="00A063A4"/>
    <w:rsid w:val="00A110AB"/>
    <w:rsid w:val="00A115AE"/>
    <w:rsid w:val="00A14BD8"/>
    <w:rsid w:val="00A16059"/>
    <w:rsid w:val="00A160AC"/>
    <w:rsid w:val="00A21099"/>
    <w:rsid w:val="00A232E2"/>
    <w:rsid w:val="00A23375"/>
    <w:rsid w:val="00A25E32"/>
    <w:rsid w:val="00A27FBD"/>
    <w:rsid w:val="00A32457"/>
    <w:rsid w:val="00A33BA1"/>
    <w:rsid w:val="00A34805"/>
    <w:rsid w:val="00A35D59"/>
    <w:rsid w:val="00A37B82"/>
    <w:rsid w:val="00A432EA"/>
    <w:rsid w:val="00A43BD7"/>
    <w:rsid w:val="00A44849"/>
    <w:rsid w:val="00A45D9F"/>
    <w:rsid w:val="00A46409"/>
    <w:rsid w:val="00A47FC6"/>
    <w:rsid w:val="00A53CBA"/>
    <w:rsid w:val="00A55CD2"/>
    <w:rsid w:val="00A561B2"/>
    <w:rsid w:val="00A645E9"/>
    <w:rsid w:val="00A648DC"/>
    <w:rsid w:val="00A6565B"/>
    <w:rsid w:val="00A66583"/>
    <w:rsid w:val="00A6730C"/>
    <w:rsid w:val="00A70EAB"/>
    <w:rsid w:val="00A7522F"/>
    <w:rsid w:val="00A75C5F"/>
    <w:rsid w:val="00A75E3A"/>
    <w:rsid w:val="00A76210"/>
    <w:rsid w:val="00A80303"/>
    <w:rsid w:val="00A80D60"/>
    <w:rsid w:val="00A82402"/>
    <w:rsid w:val="00A83BE8"/>
    <w:rsid w:val="00A846CB"/>
    <w:rsid w:val="00A8632A"/>
    <w:rsid w:val="00A87639"/>
    <w:rsid w:val="00A902A7"/>
    <w:rsid w:val="00A92A01"/>
    <w:rsid w:val="00A92FFE"/>
    <w:rsid w:val="00A93E4B"/>
    <w:rsid w:val="00A96350"/>
    <w:rsid w:val="00AA3587"/>
    <w:rsid w:val="00AA6A27"/>
    <w:rsid w:val="00AA7834"/>
    <w:rsid w:val="00AA7E2F"/>
    <w:rsid w:val="00AB3D89"/>
    <w:rsid w:val="00AC0DEB"/>
    <w:rsid w:val="00AC1D2C"/>
    <w:rsid w:val="00AC2065"/>
    <w:rsid w:val="00AC29C0"/>
    <w:rsid w:val="00AC3333"/>
    <w:rsid w:val="00AC4841"/>
    <w:rsid w:val="00AC6888"/>
    <w:rsid w:val="00AC706A"/>
    <w:rsid w:val="00AD0881"/>
    <w:rsid w:val="00AD0E5C"/>
    <w:rsid w:val="00AD13B0"/>
    <w:rsid w:val="00AD1906"/>
    <w:rsid w:val="00AD3415"/>
    <w:rsid w:val="00AD3E49"/>
    <w:rsid w:val="00AD4CD5"/>
    <w:rsid w:val="00AD5FFF"/>
    <w:rsid w:val="00AD65BC"/>
    <w:rsid w:val="00AD7048"/>
    <w:rsid w:val="00AE1E7B"/>
    <w:rsid w:val="00AE2AA0"/>
    <w:rsid w:val="00AE2D85"/>
    <w:rsid w:val="00AE300B"/>
    <w:rsid w:val="00AE3030"/>
    <w:rsid w:val="00AE3575"/>
    <w:rsid w:val="00AE4402"/>
    <w:rsid w:val="00AF05D9"/>
    <w:rsid w:val="00AF0C49"/>
    <w:rsid w:val="00AF25D8"/>
    <w:rsid w:val="00AF294F"/>
    <w:rsid w:val="00AF3862"/>
    <w:rsid w:val="00AF3A99"/>
    <w:rsid w:val="00AF5048"/>
    <w:rsid w:val="00AF6A03"/>
    <w:rsid w:val="00AF6FD3"/>
    <w:rsid w:val="00AF7E71"/>
    <w:rsid w:val="00B046F5"/>
    <w:rsid w:val="00B07961"/>
    <w:rsid w:val="00B106D6"/>
    <w:rsid w:val="00B10980"/>
    <w:rsid w:val="00B134AE"/>
    <w:rsid w:val="00B13E95"/>
    <w:rsid w:val="00B14738"/>
    <w:rsid w:val="00B16697"/>
    <w:rsid w:val="00B172F8"/>
    <w:rsid w:val="00B17ECF"/>
    <w:rsid w:val="00B22885"/>
    <w:rsid w:val="00B23D44"/>
    <w:rsid w:val="00B252D7"/>
    <w:rsid w:val="00B25F9C"/>
    <w:rsid w:val="00B30A9A"/>
    <w:rsid w:val="00B31D8C"/>
    <w:rsid w:val="00B32A28"/>
    <w:rsid w:val="00B33270"/>
    <w:rsid w:val="00B335E5"/>
    <w:rsid w:val="00B340A1"/>
    <w:rsid w:val="00B35775"/>
    <w:rsid w:val="00B37B0E"/>
    <w:rsid w:val="00B42D52"/>
    <w:rsid w:val="00B45DF9"/>
    <w:rsid w:val="00B46F3C"/>
    <w:rsid w:val="00B47D24"/>
    <w:rsid w:val="00B50C44"/>
    <w:rsid w:val="00B51271"/>
    <w:rsid w:val="00B51A5D"/>
    <w:rsid w:val="00B522EE"/>
    <w:rsid w:val="00B52458"/>
    <w:rsid w:val="00B54982"/>
    <w:rsid w:val="00B5521B"/>
    <w:rsid w:val="00B552BC"/>
    <w:rsid w:val="00B57C75"/>
    <w:rsid w:val="00B63C10"/>
    <w:rsid w:val="00B63D0D"/>
    <w:rsid w:val="00B64296"/>
    <w:rsid w:val="00B6620F"/>
    <w:rsid w:val="00B66A37"/>
    <w:rsid w:val="00B6732E"/>
    <w:rsid w:val="00B71D60"/>
    <w:rsid w:val="00B72DCC"/>
    <w:rsid w:val="00B7470F"/>
    <w:rsid w:val="00B74A8A"/>
    <w:rsid w:val="00B7781A"/>
    <w:rsid w:val="00B77B84"/>
    <w:rsid w:val="00B80670"/>
    <w:rsid w:val="00B80B48"/>
    <w:rsid w:val="00B817C8"/>
    <w:rsid w:val="00B81AC8"/>
    <w:rsid w:val="00B81C71"/>
    <w:rsid w:val="00B82C60"/>
    <w:rsid w:val="00B834C5"/>
    <w:rsid w:val="00B841D1"/>
    <w:rsid w:val="00B87159"/>
    <w:rsid w:val="00B90A05"/>
    <w:rsid w:val="00B91B4A"/>
    <w:rsid w:val="00B924B0"/>
    <w:rsid w:val="00B92784"/>
    <w:rsid w:val="00B943ED"/>
    <w:rsid w:val="00B977AF"/>
    <w:rsid w:val="00BA3A19"/>
    <w:rsid w:val="00BA4556"/>
    <w:rsid w:val="00BA5B86"/>
    <w:rsid w:val="00BA610B"/>
    <w:rsid w:val="00BA6573"/>
    <w:rsid w:val="00BA75F1"/>
    <w:rsid w:val="00BB0155"/>
    <w:rsid w:val="00BB1B73"/>
    <w:rsid w:val="00BB3ABD"/>
    <w:rsid w:val="00BB76F2"/>
    <w:rsid w:val="00BC088D"/>
    <w:rsid w:val="00BC1914"/>
    <w:rsid w:val="00BC272B"/>
    <w:rsid w:val="00BC2B9E"/>
    <w:rsid w:val="00BC2BFC"/>
    <w:rsid w:val="00BC44E3"/>
    <w:rsid w:val="00BD60C8"/>
    <w:rsid w:val="00BD7328"/>
    <w:rsid w:val="00BE378B"/>
    <w:rsid w:val="00BE3941"/>
    <w:rsid w:val="00BE5E12"/>
    <w:rsid w:val="00BE63ED"/>
    <w:rsid w:val="00BE749E"/>
    <w:rsid w:val="00BF11C4"/>
    <w:rsid w:val="00BF2D45"/>
    <w:rsid w:val="00BF4E87"/>
    <w:rsid w:val="00BF56BA"/>
    <w:rsid w:val="00C00898"/>
    <w:rsid w:val="00C00ADD"/>
    <w:rsid w:val="00C0196F"/>
    <w:rsid w:val="00C03666"/>
    <w:rsid w:val="00C03864"/>
    <w:rsid w:val="00C03D60"/>
    <w:rsid w:val="00C04697"/>
    <w:rsid w:val="00C04CEE"/>
    <w:rsid w:val="00C062D0"/>
    <w:rsid w:val="00C115B9"/>
    <w:rsid w:val="00C12651"/>
    <w:rsid w:val="00C126E3"/>
    <w:rsid w:val="00C13E97"/>
    <w:rsid w:val="00C14239"/>
    <w:rsid w:val="00C156CD"/>
    <w:rsid w:val="00C15969"/>
    <w:rsid w:val="00C16E4C"/>
    <w:rsid w:val="00C16F61"/>
    <w:rsid w:val="00C1754E"/>
    <w:rsid w:val="00C20387"/>
    <w:rsid w:val="00C20D93"/>
    <w:rsid w:val="00C21456"/>
    <w:rsid w:val="00C2148B"/>
    <w:rsid w:val="00C24CD0"/>
    <w:rsid w:val="00C26E57"/>
    <w:rsid w:val="00C27DCB"/>
    <w:rsid w:val="00C303D6"/>
    <w:rsid w:val="00C321A8"/>
    <w:rsid w:val="00C360F5"/>
    <w:rsid w:val="00C37703"/>
    <w:rsid w:val="00C412F2"/>
    <w:rsid w:val="00C418F5"/>
    <w:rsid w:val="00C436C2"/>
    <w:rsid w:val="00C43883"/>
    <w:rsid w:val="00C46615"/>
    <w:rsid w:val="00C509F7"/>
    <w:rsid w:val="00C51144"/>
    <w:rsid w:val="00C5189C"/>
    <w:rsid w:val="00C5228D"/>
    <w:rsid w:val="00C53487"/>
    <w:rsid w:val="00C55753"/>
    <w:rsid w:val="00C55A12"/>
    <w:rsid w:val="00C5678B"/>
    <w:rsid w:val="00C6039E"/>
    <w:rsid w:val="00C60C7B"/>
    <w:rsid w:val="00C65712"/>
    <w:rsid w:val="00C70873"/>
    <w:rsid w:val="00C70979"/>
    <w:rsid w:val="00C71CD0"/>
    <w:rsid w:val="00C73EE0"/>
    <w:rsid w:val="00C76536"/>
    <w:rsid w:val="00C772E8"/>
    <w:rsid w:val="00C80E58"/>
    <w:rsid w:val="00C81D64"/>
    <w:rsid w:val="00C82205"/>
    <w:rsid w:val="00C829B0"/>
    <w:rsid w:val="00C82CDF"/>
    <w:rsid w:val="00C834BF"/>
    <w:rsid w:val="00C83804"/>
    <w:rsid w:val="00C8475E"/>
    <w:rsid w:val="00C853BB"/>
    <w:rsid w:val="00C86121"/>
    <w:rsid w:val="00C86BCC"/>
    <w:rsid w:val="00C86CAA"/>
    <w:rsid w:val="00C932BA"/>
    <w:rsid w:val="00C93676"/>
    <w:rsid w:val="00C93CF8"/>
    <w:rsid w:val="00C95EEE"/>
    <w:rsid w:val="00C96340"/>
    <w:rsid w:val="00CA0250"/>
    <w:rsid w:val="00CA26F8"/>
    <w:rsid w:val="00CA3AE2"/>
    <w:rsid w:val="00CA4F3A"/>
    <w:rsid w:val="00CA588F"/>
    <w:rsid w:val="00CB0597"/>
    <w:rsid w:val="00CB250C"/>
    <w:rsid w:val="00CB3CE4"/>
    <w:rsid w:val="00CB5553"/>
    <w:rsid w:val="00CB64D2"/>
    <w:rsid w:val="00CB72D3"/>
    <w:rsid w:val="00CC2788"/>
    <w:rsid w:val="00CC2D70"/>
    <w:rsid w:val="00CC7B5D"/>
    <w:rsid w:val="00CD0084"/>
    <w:rsid w:val="00CD0510"/>
    <w:rsid w:val="00CD06CB"/>
    <w:rsid w:val="00CD121E"/>
    <w:rsid w:val="00CD3961"/>
    <w:rsid w:val="00CD47A4"/>
    <w:rsid w:val="00CD5680"/>
    <w:rsid w:val="00CD5C67"/>
    <w:rsid w:val="00CE04AA"/>
    <w:rsid w:val="00CE1B9A"/>
    <w:rsid w:val="00CE221C"/>
    <w:rsid w:val="00CE53CC"/>
    <w:rsid w:val="00CE5AB2"/>
    <w:rsid w:val="00CE7273"/>
    <w:rsid w:val="00CE73AD"/>
    <w:rsid w:val="00CF111A"/>
    <w:rsid w:val="00CF1167"/>
    <w:rsid w:val="00CF32CC"/>
    <w:rsid w:val="00CF33FB"/>
    <w:rsid w:val="00CF373D"/>
    <w:rsid w:val="00CF48AE"/>
    <w:rsid w:val="00CF68E8"/>
    <w:rsid w:val="00CF6E3A"/>
    <w:rsid w:val="00D00650"/>
    <w:rsid w:val="00D007B0"/>
    <w:rsid w:val="00D01D36"/>
    <w:rsid w:val="00D02AC6"/>
    <w:rsid w:val="00D02DFF"/>
    <w:rsid w:val="00D043A8"/>
    <w:rsid w:val="00D05013"/>
    <w:rsid w:val="00D05486"/>
    <w:rsid w:val="00D069DC"/>
    <w:rsid w:val="00D10688"/>
    <w:rsid w:val="00D1111C"/>
    <w:rsid w:val="00D11EAC"/>
    <w:rsid w:val="00D12031"/>
    <w:rsid w:val="00D13545"/>
    <w:rsid w:val="00D13C15"/>
    <w:rsid w:val="00D1474B"/>
    <w:rsid w:val="00D21370"/>
    <w:rsid w:val="00D219E2"/>
    <w:rsid w:val="00D22E21"/>
    <w:rsid w:val="00D237E1"/>
    <w:rsid w:val="00D23A9F"/>
    <w:rsid w:val="00D351B8"/>
    <w:rsid w:val="00D36351"/>
    <w:rsid w:val="00D368E3"/>
    <w:rsid w:val="00D41069"/>
    <w:rsid w:val="00D41246"/>
    <w:rsid w:val="00D41545"/>
    <w:rsid w:val="00D45FDE"/>
    <w:rsid w:val="00D500A3"/>
    <w:rsid w:val="00D52C89"/>
    <w:rsid w:val="00D530E6"/>
    <w:rsid w:val="00D5425B"/>
    <w:rsid w:val="00D5529C"/>
    <w:rsid w:val="00D6080A"/>
    <w:rsid w:val="00D60CCB"/>
    <w:rsid w:val="00D6142C"/>
    <w:rsid w:val="00D626D0"/>
    <w:rsid w:val="00D62FDD"/>
    <w:rsid w:val="00D64BA2"/>
    <w:rsid w:val="00D64CB6"/>
    <w:rsid w:val="00D6548F"/>
    <w:rsid w:val="00D66748"/>
    <w:rsid w:val="00D67E89"/>
    <w:rsid w:val="00D724E4"/>
    <w:rsid w:val="00D74A8B"/>
    <w:rsid w:val="00D764B5"/>
    <w:rsid w:val="00D7667C"/>
    <w:rsid w:val="00D777ED"/>
    <w:rsid w:val="00D7794F"/>
    <w:rsid w:val="00D80738"/>
    <w:rsid w:val="00D833A2"/>
    <w:rsid w:val="00D9068A"/>
    <w:rsid w:val="00D907A2"/>
    <w:rsid w:val="00D91207"/>
    <w:rsid w:val="00D91966"/>
    <w:rsid w:val="00D93595"/>
    <w:rsid w:val="00D94402"/>
    <w:rsid w:val="00DA2241"/>
    <w:rsid w:val="00DA24BB"/>
    <w:rsid w:val="00DA37C6"/>
    <w:rsid w:val="00DA4E39"/>
    <w:rsid w:val="00DA6AE1"/>
    <w:rsid w:val="00DA7A38"/>
    <w:rsid w:val="00DA7CE6"/>
    <w:rsid w:val="00DB0FA8"/>
    <w:rsid w:val="00DB3E65"/>
    <w:rsid w:val="00DB68FC"/>
    <w:rsid w:val="00DB6C79"/>
    <w:rsid w:val="00DB7E72"/>
    <w:rsid w:val="00DC11AD"/>
    <w:rsid w:val="00DC4D93"/>
    <w:rsid w:val="00DC5A86"/>
    <w:rsid w:val="00DC79D7"/>
    <w:rsid w:val="00DD7E30"/>
    <w:rsid w:val="00DE0E07"/>
    <w:rsid w:val="00DE2B46"/>
    <w:rsid w:val="00DE65A4"/>
    <w:rsid w:val="00DE7D1D"/>
    <w:rsid w:val="00DF380F"/>
    <w:rsid w:val="00DF40FC"/>
    <w:rsid w:val="00DF507C"/>
    <w:rsid w:val="00DF617F"/>
    <w:rsid w:val="00DF686B"/>
    <w:rsid w:val="00E00763"/>
    <w:rsid w:val="00E00841"/>
    <w:rsid w:val="00E013EB"/>
    <w:rsid w:val="00E034B4"/>
    <w:rsid w:val="00E0395B"/>
    <w:rsid w:val="00E04D3F"/>
    <w:rsid w:val="00E06858"/>
    <w:rsid w:val="00E07C58"/>
    <w:rsid w:val="00E11FF1"/>
    <w:rsid w:val="00E1231B"/>
    <w:rsid w:val="00E1269D"/>
    <w:rsid w:val="00E134F0"/>
    <w:rsid w:val="00E14663"/>
    <w:rsid w:val="00E15E01"/>
    <w:rsid w:val="00E17D79"/>
    <w:rsid w:val="00E2074C"/>
    <w:rsid w:val="00E20C25"/>
    <w:rsid w:val="00E21919"/>
    <w:rsid w:val="00E22E8E"/>
    <w:rsid w:val="00E26AC5"/>
    <w:rsid w:val="00E270B5"/>
    <w:rsid w:val="00E31EA0"/>
    <w:rsid w:val="00E334B4"/>
    <w:rsid w:val="00E33691"/>
    <w:rsid w:val="00E3763C"/>
    <w:rsid w:val="00E37C7C"/>
    <w:rsid w:val="00E4185D"/>
    <w:rsid w:val="00E41AB7"/>
    <w:rsid w:val="00E44E20"/>
    <w:rsid w:val="00E4584F"/>
    <w:rsid w:val="00E46063"/>
    <w:rsid w:val="00E467EE"/>
    <w:rsid w:val="00E46BEE"/>
    <w:rsid w:val="00E470EA"/>
    <w:rsid w:val="00E47124"/>
    <w:rsid w:val="00E523D0"/>
    <w:rsid w:val="00E53563"/>
    <w:rsid w:val="00E54394"/>
    <w:rsid w:val="00E55006"/>
    <w:rsid w:val="00E5510D"/>
    <w:rsid w:val="00E5544E"/>
    <w:rsid w:val="00E5627F"/>
    <w:rsid w:val="00E56C2F"/>
    <w:rsid w:val="00E57314"/>
    <w:rsid w:val="00E61D20"/>
    <w:rsid w:val="00E6225A"/>
    <w:rsid w:val="00E624FE"/>
    <w:rsid w:val="00E651E4"/>
    <w:rsid w:val="00E65714"/>
    <w:rsid w:val="00E659F3"/>
    <w:rsid w:val="00E666E6"/>
    <w:rsid w:val="00E666FC"/>
    <w:rsid w:val="00E72DA8"/>
    <w:rsid w:val="00E76501"/>
    <w:rsid w:val="00E7706C"/>
    <w:rsid w:val="00E77FBF"/>
    <w:rsid w:val="00E80B43"/>
    <w:rsid w:val="00E80F9F"/>
    <w:rsid w:val="00E81087"/>
    <w:rsid w:val="00E8163C"/>
    <w:rsid w:val="00E81E8C"/>
    <w:rsid w:val="00E829D5"/>
    <w:rsid w:val="00E85537"/>
    <w:rsid w:val="00E858BC"/>
    <w:rsid w:val="00E85FF7"/>
    <w:rsid w:val="00E87D64"/>
    <w:rsid w:val="00E90F8F"/>
    <w:rsid w:val="00E941A6"/>
    <w:rsid w:val="00E96E75"/>
    <w:rsid w:val="00E97CB1"/>
    <w:rsid w:val="00EA056B"/>
    <w:rsid w:val="00EA1C33"/>
    <w:rsid w:val="00EA2050"/>
    <w:rsid w:val="00EA2542"/>
    <w:rsid w:val="00EA25C7"/>
    <w:rsid w:val="00EA3697"/>
    <w:rsid w:val="00EA6949"/>
    <w:rsid w:val="00EB00E0"/>
    <w:rsid w:val="00EB1B08"/>
    <w:rsid w:val="00EB2E3F"/>
    <w:rsid w:val="00EB3F43"/>
    <w:rsid w:val="00EB4F58"/>
    <w:rsid w:val="00EB57DD"/>
    <w:rsid w:val="00EB6A58"/>
    <w:rsid w:val="00EB6E95"/>
    <w:rsid w:val="00EB7286"/>
    <w:rsid w:val="00EB7C5D"/>
    <w:rsid w:val="00EC13FB"/>
    <w:rsid w:val="00EC177D"/>
    <w:rsid w:val="00EC201C"/>
    <w:rsid w:val="00EC3E50"/>
    <w:rsid w:val="00EC51F0"/>
    <w:rsid w:val="00EC59BE"/>
    <w:rsid w:val="00EC5AF6"/>
    <w:rsid w:val="00EC6516"/>
    <w:rsid w:val="00EC7CAF"/>
    <w:rsid w:val="00EC7E2C"/>
    <w:rsid w:val="00ED14C3"/>
    <w:rsid w:val="00ED1A2C"/>
    <w:rsid w:val="00ED2A5B"/>
    <w:rsid w:val="00ED4751"/>
    <w:rsid w:val="00ED7CB5"/>
    <w:rsid w:val="00EE02CB"/>
    <w:rsid w:val="00EE1AB1"/>
    <w:rsid w:val="00EE297B"/>
    <w:rsid w:val="00EE333E"/>
    <w:rsid w:val="00EE4E4E"/>
    <w:rsid w:val="00EE558D"/>
    <w:rsid w:val="00EE7C90"/>
    <w:rsid w:val="00EF0175"/>
    <w:rsid w:val="00EF18DD"/>
    <w:rsid w:val="00EF5DAA"/>
    <w:rsid w:val="00EF66D5"/>
    <w:rsid w:val="00EF7544"/>
    <w:rsid w:val="00F00C73"/>
    <w:rsid w:val="00F017DF"/>
    <w:rsid w:val="00F03073"/>
    <w:rsid w:val="00F0312A"/>
    <w:rsid w:val="00F04B32"/>
    <w:rsid w:val="00F10615"/>
    <w:rsid w:val="00F13F8D"/>
    <w:rsid w:val="00F170E9"/>
    <w:rsid w:val="00F17101"/>
    <w:rsid w:val="00F2368C"/>
    <w:rsid w:val="00F26C9F"/>
    <w:rsid w:val="00F27FEE"/>
    <w:rsid w:val="00F31E6D"/>
    <w:rsid w:val="00F322BD"/>
    <w:rsid w:val="00F32386"/>
    <w:rsid w:val="00F32D0F"/>
    <w:rsid w:val="00F337C7"/>
    <w:rsid w:val="00F4076D"/>
    <w:rsid w:val="00F41D60"/>
    <w:rsid w:val="00F41D90"/>
    <w:rsid w:val="00F42F8E"/>
    <w:rsid w:val="00F43D46"/>
    <w:rsid w:val="00F454F2"/>
    <w:rsid w:val="00F4627A"/>
    <w:rsid w:val="00F5073D"/>
    <w:rsid w:val="00F527DD"/>
    <w:rsid w:val="00F54281"/>
    <w:rsid w:val="00F54C6D"/>
    <w:rsid w:val="00F60269"/>
    <w:rsid w:val="00F61326"/>
    <w:rsid w:val="00F668B4"/>
    <w:rsid w:val="00F72125"/>
    <w:rsid w:val="00F743CC"/>
    <w:rsid w:val="00F74573"/>
    <w:rsid w:val="00F77673"/>
    <w:rsid w:val="00F803B4"/>
    <w:rsid w:val="00F8206E"/>
    <w:rsid w:val="00F822DA"/>
    <w:rsid w:val="00F8533F"/>
    <w:rsid w:val="00F8596C"/>
    <w:rsid w:val="00F87092"/>
    <w:rsid w:val="00F87937"/>
    <w:rsid w:val="00F908D8"/>
    <w:rsid w:val="00F93D4E"/>
    <w:rsid w:val="00F94E58"/>
    <w:rsid w:val="00F94E72"/>
    <w:rsid w:val="00F9589D"/>
    <w:rsid w:val="00F95DF6"/>
    <w:rsid w:val="00F96307"/>
    <w:rsid w:val="00FA1CE7"/>
    <w:rsid w:val="00FA271D"/>
    <w:rsid w:val="00FA29CD"/>
    <w:rsid w:val="00FA5F50"/>
    <w:rsid w:val="00FA600F"/>
    <w:rsid w:val="00FA6663"/>
    <w:rsid w:val="00FB1357"/>
    <w:rsid w:val="00FB2173"/>
    <w:rsid w:val="00FB5830"/>
    <w:rsid w:val="00FB7BF1"/>
    <w:rsid w:val="00FC11FD"/>
    <w:rsid w:val="00FC14E2"/>
    <w:rsid w:val="00FC2C19"/>
    <w:rsid w:val="00FC32EC"/>
    <w:rsid w:val="00FC3607"/>
    <w:rsid w:val="00FC5BF0"/>
    <w:rsid w:val="00FD0BC4"/>
    <w:rsid w:val="00FD3889"/>
    <w:rsid w:val="00FD6E91"/>
    <w:rsid w:val="00FD7539"/>
    <w:rsid w:val="00FD7DFA"/>
    <w:rsid w:val="00FE00BF"/>
    <w:rsid w:val="00FE0ADD"/>
    <w:rsid w:val="00FE0E3E"/>
    <w:rsid w:val="00FE11FE"/>
    <w:rsid w:val="00FE57B1"/>
    <w:rsid w:val="00FF17A2"/>
    <w:rsid w:val="00FF25CA"/>
    <w:rsid w:val="00FF3819"/>
    <w:rsid w:val="00FF4091"/>
    <w:rsid w:val="00FF4316"/>
    <w:rsid w:val="00FF4E66"/>
    <w:rsid w:val="011411AA"/>
    <w:rsid w:val="01171A5E"/>
    <w:rsid w:val="011D29AB"/>
    <w:rsid w:val="019028DB"/>
    <w:rsid w:val="01EB6894"/>
    <w:rsid w:val="01FF1E15"/>
    <w:rsid w:val="020517AE"/>
    <w:rsid w:val="022201E6"/>
    <w:rsid w:val="0256153E"/>
    <w:rsid w:val="02793AC3"/>
    <w:rsid w:val="02821DB6"/>
    <w:rsid w:val="0299166F"/>
    <w:rsid w:val="02A054C4"/>
    <w:rsid w:val="02D06C3A"/>
    <w:rsid w:val="02D3563C"/>
    <w:rsid w:val="034F693A"/>
    <w:rsid w:val="03824AAC"/>
    <w:rsid w:val="03C17E1B"/>
    <w:rsid w:val="0405748B"/>
    <w:rsid w:val="04214831"/>
    <w:rsid w:val="0442657B"/>
    <w:rsid w:val="04661CA4"/>
    <w:rsid w:val="04696C42"/>
    <w:rsid w:val="0474510A"/>
    <w:rsid w:val="04A66C4C"/>
    <w:rsid w:val="052322E7"/>
    <w:rsid w:val="05366562"/>
    <w:rsid w:val="05570E2A"/>
    <w:rsid w:val="055B5F83"/>
    <w:rsid w:val="058E5039"/>
    <w:rsid w:val="058F6EDA"/>
    <w:rsid w:val="05FD432E"/>
    <w:rsid w:val="060D6CDA"/>
    <w:rsid w:val="062831FF"/>
    <w:rsid w:val="0646679B"/>
    <w:rsid w:val="06710A44"/>
    <w:rsid w:val="06CA5CEF"/>
    <w:rsid w:val="06DC2A6C"/>
    <w:rsid w:val="06F147B4"/>
    <w:rsid w:val="07337F3D"/>
    <w:rsid w:val="0764271A"/>
    <w:rsid w:val="077720B1"/>
    <w:rsid w:val="07BC4E84"/>
    <w:rsid w:val="07F20797"/>
    <w:rsid w:val="08246518"/>
    <w:rsid w:val="084C79BA"/>
    <w:rsid w:val="086006BC"/>
    <w:rsid w:val="08830FD6"/>
    <w:rsid w:val="08A92563"/>
    <w:rsid w:val="08D572E5"/>
    <w:rsid w:val="08F56D37"/>
    <w:rsid w:val="095A2B96"/>
    <w:rsid w:val="09697757"/>
    <w:rsid w:val="097708CB"/>
    <w:rsid w:val="09895238"/>
    <w:rsid w:val="09BE049F"/>
    <w:rsid w:val="09C43EF5"/>
    <w:rsid w:val="09ED69F7"/>
    <w:rsid w:val="0A3A0D59"/>
    <w:rsid w:val="0A4505E1"/>
    <w:rsid w:val="0A77132A"/>
    <w:rsid w:val="0A7D3598"/>
    <w:rsid w:val="0A8406BA"/>
    <w:rsid w:val="0A982CBB"/>
    <w:rsid w:val="0AA14F40"/>
    <w:rsid w:val="0AB25A1A"/>
    <w:rsid w:val="0AF50CB7"/>
    <w:rsid w:val="0B3F7672"/>
    <w:rsid w:val="0B4B53F1"/>
    <w:rsid w:val="0B5753B1"/>
    <w:rsid w:val="0B5B73E0"/>
    <w:rsid w:val="0B6B22C9"/>
    <w:rsid w:val="0BE356D9"/>
    <w:rsid w:val="0BFC0932"/>
    <w:rsid w:val="0C670AF8"/>
    <w:rsid w:val="0CF43CF9"/>
    <w:rsid w:val="0D195941"/>
    <w:rsid w:val="0D4A3843"/>
    <w:rsid w:val="0D6C5C0F"/>
    <w:rsid w:val="0D790755"/>
    <w:rsid w:val="0DAF0B93"/>
    <w:rsid w:val="0DC03F61"/>
    <w:rsid w:val="0DC41638"/>
    <w:rsid w:val="0DD51C7C"/>
    <w:rsid w:val="0DF44CAB"/>
    <w:rsid w:val="0E5879D9"/>
    <w:rsid w:val="0E776EE2"/>
    <w:rsid w:val="0EAA3109"/>
    <w:rsid w:val="0ECA08AC"/>
    <w:rsid w:val="0EE6433B"/>
    <w:rsid w:val="0EFE3424"/>
    <w:rsid w:val="0F2E1171"/>
    <w:rsid w:val="0F343397"/>
    <w:rsid w:val="0F4A0E3A"/>
    <w:rsid w:val="0F69741B"/>
    <w:rsid w:val="0F742597"/>
    <w:rsid w:val="0FBD50BE"/>
    <w:rsid w:val="10290919"/>
    <w:rsid w:val="1092733D"/>
    <w:rsid w:val="111136F1"/>
    <w:rsid w:val="11372225"/>
    <w:rsid w:val="114710E3"/>
    <w:rsid w:val="115D7703"/>
    <w:rsid w:val="11612476"/>
    <w:rsid w:val="11810BDB"/>
    <w:rsid w:val="118D69B7"/>
    <w:rsid w:val="11B834BB"/>
    <w:rsid w:val="11DE3EAF"/>
    <w:rsid w:val="11EB0145"/>
    <w:rsid w:val="12025B1D"/>
    <w:rsid w:val="126D5035"/>
    <w:rsid w:val="12F74D61"/>
    <w:rsid w:val="1345526D"/>
    <w:rsid w:val="13467F5B"/>
    <w:rsid w:val="135C3682"/>
    <w:rsid w:val="13A027EF"/>
    <w:rsid w:val="13B404AD"/>
    <w:rsid w:val="13D23494"/>
    <w:rsid w:val="13EA2D40"/>
    <w:rsid w:val="14200C6F"/>
    <w:rsid w:val="14634879"/>
    <w:rsid w:val="146F739F"/>
    <w:rsid w:val="14761CB6"/>
    <w:rsid w:val="14C02945"/>
    <w:rsid w:val="14D37C6A"/>
    <w:rsid w:val="14F03FC6"/>
    <w:rsid w:val="15517F89"/>
    <w:rsid w:val="157F2024"/>
    <w:rsid w:val="158A1DD0"/>
    <w:rsid w:val="158C31EB"/>
    <w:rsid w:val="15E52C78"/>
    <w:rsid w:val="161038EA"/>
    <w:rsid w:val="16297009"/>
    <w:rsid w:val="16363894"/>
    <w:rsid w:val="168B2E09"/>
    <w:rsid w:val="169C21EC"/>
    <w:rsid w:val="16D70DBE"/>
    <w:rsid w:val="17222598"/>
    <w:rsid w:val="17B46DA6"/>
    <w:rsid w:val="17C0440D"/>
    <w:rsid w:val="17E4487F"/>
    <w:rsid w:val="185C7343"/>
    <w:rsid w:val="18BE4538"/>
    <w:rsid w:val="18F21AE9"/>
    <w:rsid w:val="19426A01"/>
    <w:rsid w:val="19865BAB"/>
    <w:rsid w:val="19C21C4E"/>
    <w:rsid w:val="1A673E83"/>
    <w:rsid w:val="1A8C1941"/>
    <w:rsid w:val="1AC2063A"/>
    <w:rsid w:val="1AF12C5E"/>
    <w:rsid w:val="1B1E0CE2"/>
    <w:rsid w:val="1B34092A"/>
    <w:rsid w:val="1B505038"/>
    <w:rsid w:val="1BE217B8"/>
    <w:rsid w:val="1BE55A9E"/>
    <w:rsid w:val="1BED77E5"/>
    <w:rsid w:val="1C25281D"/>
    <w:rsid w:val="1C2823F4"/>
    <w:rsid w:val="1C3650B2"/>
    <w:rsid w:val="1D0456C4"/>
    <w:rsid w:val="1D0D2435"/>
    <w:rsid w:val="1D194AC9"/>
    <w:rsid w:val="1D2E0AF8"/>
    <w:rsid w:val="1DE54EE5"/>
    <w:rsid w:val="1E053317"/>
    <w:rsid w:val="1E7B4EF1"/>
    <w:rsid w:val="1EC20213"/>
    <w:rsid w:val="1EC65EC8"/>
    <w:rsid w:val="1EE34B0A"/>
    <w:rsid w:val="1EEC48C1"/>
    <w:rsid w:val="1F131A53"/>
    <w:rsid w:val="1F263514"/>
    <w:rsid w:val="1F332CA6"/>
    <w:rsid w:val="1F3F3E23"/>
    <w:rsid w:val="1F47271B"/>
    <w:rsid w:val="1F7D7E22"/>
    <w:rsid w:val="1F862EFE"/>
    <w:rsid w:val="1F9E3C0D"/>
    <w:rsid w:val="1FB20CF9"/>
    <w:rsid w:val="1FC0779B"/>
    <w:rsid w:val="1FCC0267"/>
    <w:rsid w:val="1FE54E30"/>
    <w:rsid w:val="1FFF7A09"/>
    <w:rsid w:val="202A40D8"/>
    <w:rsid w:val="202B4A74"/>
    <w:rsid w:val="209A7F5A"/>
    <w:rsid w:val="20BE2A44"/>
    <w:rsid w:val="20E24D48"/>
    <w:rsid w:val="20EE72CE"/>
    <w:rsid w:val="211A33BF"/>
    <w:rsid w:val="21234926"/>
    <w:rsid w:val="219B1C4D"/>
    <w:rsid w:val="21DB334C"/>
    <w:rsid w:val="22154097"/>
    <w:rsid w:val="223020C9"/>
    <w:rsid w:val="226946B5"/>
    <w:rsid w:val="227977F4"/>
    <w:rsid w:val="227F40F6"/>
    <w:rsid w:val="228D6B72"/>
    <w:rsid w:val="22E86AC3"/>
    <w:rsid w:val="22F8048F"/>
    <w:rsid w:val="233026ED"/>
    <w:rsid w:val="23316A65"/>
    <w:rsid w:val="235D19AF"/>
    <w:rsid w:val="236405E4"/>
    <w:rsid w:val="236C7F57"/>
    <w:rsid w:val="23797147"/>
    <w:rsid w:val="23A73596"/>
    <w:rsid w:val="241F02B7"/>
    <w:rsid w:val="243026AE"/>
    <w:rsid w:val="244F2331"/>
    <w:rsid w:val="249F32AD"/>
    <w:rsid w:val="25141501"/>
    <w:rsid w:val="251E0B01"/>
    <w:rsid w:val="25455490"/>
    <w:rsid w:val="26046DB6"/>
    <w:rsid w:val="26573183"/>
    <w:rsid w:val="267F06A0"/>
    <w:rsid w:val="268458EF"/>
    <w:rsid w:val="26893C8A"/>
    <w:rsid w:val="269606EE"/>
    <w:rsid w:val="269B4C9D"/>
    <w:rsid w:val="26BF2D58"/>
    <w:rsid w:val="26D17DF2"/>
    <w:rsid w:val="26F27F0A"/>
    <w:rsid w:val="273774CB"/>
    <w:rsid w:val="27B329FB"/>
    <w:rsid w:val="27D8700E"/>
    <w:rsid w:val="283375DB"/>
    <w:rsid w:val="28340836"/>
    <w:rsid w:val="28F67563"/>
    <w:rsid w:val="28FA00EA"/>
    <w:rsid w:val="290C4C94"/>
    <w:rsid w:val="29652E8C"/>
    <w:rsid w:val="2965656A"/>
    <w:rsid w:val="29A233A8"/>
    <w:rsid w:val="29A829A9"/>
    <w:rsid w:val="29E52D44"/>
    <w:rsid w:val="2A2F15A9"/>
    <w:rsid w:val="2A394C27"/>
    <w:rsid w:val="2A953694"/>
    <w:rsid w:val="2AA64FC2"/>
    <w:rsid w:val="2AA92EB4"/>
    <w:rsid w:val="2AB71DC2"/>
    <w:rsid w:val="2AB8538C"/>
    <w:rsid w:val="2ABD762A"/>
    <w:rsid w:val="2AD662B8"/>
    <w:rsid w:val="2AD90741"/>
    <w:rsid w:val="2AE70A56"/>
    <w:rsid w:val="2B722E54"/>
    <w:rsid w:val="2B7B24EF"/>
    <w:rsid w:val="2BA804BE"/>
    <w:rsid w:val="2BC40776"/>
    <w:rsid w:val="2BED79FF"/>
    <w:rsid w:val="2C4E0CF2"/>
    <w:rsid w:val="2C6E5C1D"/>
    <w:rsid w:val="2C75571D"/>
    <w:rsid w:val="2C855D7D"/>
    <w:rsid w:val="2C8F00B9"/>
    <w:rsid w:val="2CED75CC"/>
    <w:rsid w:val="2D1759B5"/>
    <w:rsid w:val="2D5138C2"/>
    <w:rsid w:val="2D8E43AC"/>
    <w:rsid w:val="2DA65D44"/>
    <w:rsid w:val="2DBD494F"/>
    <w:rsid w:val="2DF71282"/>
    <w:rsid w:val="2EAA74B5"/>
    <w:rsid w:val="2EB510A2"/>
    <w:rsid w:val="2EBA0CEE"/>
    <w:rsid w:val="2F1B5FD4"/>
    <w:rsid w:val="2F482569"/>
    <w:rsid w:val="2FD63879"/>
    <w:rsid w:val="300E7ED1"/>
    <w:rsid w:val="30222D27"/>
    <w:rsid w:val="305F7D9F"/>
    <w:rsid w:val="30653D46"/>
    <w:rsid w:val="30D8545C"/>
    <w:rsid w:val="31307046"/>
    <w:rsid w:val="31424CE8"/>
    <w:rsid w:val="31B40C7D"/>
    <w:rsid w:val="31D52627"/>
    <w:rsid w:val="31DB728B"/>
    <w:rsid w:val="31EE00F2"/>
    <w:rsid w:val="32022679"/>
    <w:rsid w:val="321C7FAF"/>
    <w:rsid w:val="323B0061"/>
    <w:rsid w:val="32C17D4D"/>
    <w:rsid w:val="32E00262"/>
    <w:rsid w:val="32FA3E92"/>
    <w:rsid w:val="33253DC1"/>
    <w:rsid w:val="33415D80"/>
    <w:rsid w:val="335D6F7C"/>
    <w:rsid w:val="33D04B10"/>
    <w:rsid w:val="33D20AE3"/>
    <w:rsid w:val="33E60081"/>
    <w:rsid w:val="349765E1"/>
    <w:rsid w:val="34F548C9"/>
    <w:rsid w:val="34F83BF5"/>
    <w:rsid w:val="35315CB3"/>
    <w:rsid w:val="356243DB"/>
    <w:rsid w:val="35E06159"/>
    <w:rsid w:val="35E53F03"/>
    <w:rsid w:val="35FE78F5"/>
    <w:rsid w:val="363D4060"/>
    <w:rsid w:val="364D2938"/>
    <w:rsid w:val="365772E8"/>
    <w:rsid w:val="366F0610"/>
    <w:rsid w:val="36983BA0"/>
    <w:rsid w:val="36F0014C"/>
    <w:rsid w:val="37864C55"/>
    <w:rsid w:val="37E60AE9"/>
    <w:rsid w:val="37E75B83"/>
    <w:rsid w:val="386458AE"/>
    <w:rsid w:val="387E250C"/>
    <w:rsid w:val="38C97C97"/>
    <w:rsid w:val="38D64FE2"/>
    <w:rsid w:val="38F20724"/>
    <w:rsid w:val="38F65D2B"/>
    <w:rsid w:val="39663C08"/>
    <w:rsid w:val="398307A6"/>
    <w:rsid w:val="39EF5B88"/>
    <w:rsid w:val="39F81517"/>
    <w:rsid w:val="3A1820A6"/>
    <w:rsid w:val="3A3951BD"/>
    <w:rsid w:val="3A593A82"/>
    <w:rsid w:val="3AC91EBC"/>
    <w:rsid w:val="3AEE41FA"/>
    <w:rsid w:val="3AF956A8"/>
    <w:rsid w:val="3B2211BB"/>
    <w:rsid w:val="3B3D28B0"/>
    <w:rsid w:val="3B686505"/>
    <w:rsid w:val="3B6C511E"/>
    <w:rsid w:val="3BCE4D7F"/>
    <w:rsid w:val="3BEB20A4"/>
    <w:rsid w:val="3C03247D"/>
    <w:rsid w:val="3C0A0199"/>
    <w:rsid w:val="3C9607B9"/>
    <w:rsid w:val="3CB744DA"/>
    <w:rsid w:val="3CBF47B9"/>
    <w:rsid w:val="3D6A45AD"/>
    <w:rsid w:val="3D783E5D"/>
    <w:rsid w:val="3DD16B5E"/>
    <w:rsid w:val="3DD516A1"/>
    <w:rsid w:val="3DF8487C"/>
    <w:rsid w:val="3E066D8F"/>
    <w:rsid w:val="3E08145A"/>
    <w:rsid w:val="3E1201F9"/>
    <w:rsid w:val="3E9021AE"/>
    <w:rsid w:val="3E9A7F44"/>
    <w:rsid w:val="3EC333D5"/>
    <w:rsid w:val="3ECE4782"/>
    <w:rsid w:val="3EE132EE"/>
    <w:rsid w:val="3F6A3DF4"/>
    <w:rsid w:val="3F6B04E5"/>
    <w:rsid w:val="3F6B09F2"/>
    <w:rsid w:val="3F963075"/>
    <w:rsid w:val="3FA926F0"/>
    <w:rsid w:val="3FB43044"/>
    <w:rsid w:val="3FD946E7"/>
    <w:rsid w:val="3FE672FB"/>
    <w:rsid w:val="402B017F"/>
    <w:rsid w:val="402D62D8"/>
    <w:rsid w:val="40B35135"/>
    <w:rsid w:val="40D20480"/>
    <w:rsid w:val="4102145E"/>
    <w:rsid w:val="42664418"/>
    <w:rsid w:val="427F74B5"/>
    <w:rsid w:val="42D13E1D"/>
    <w:rsid w:val="42FA51DF"/>
    <w:rsid w:val="430C715F"/>
    <w:rsid w:val="432A377F"/>
    <w:rsid w:val="4336568E"/>
    <w:rsid w:val="43521BF3"/>
    <w:rsid w:val="43E227C2"/>
    <w:rsid w:val="442F7086"/>
    <w:rsid w:val="443B5FD6"/>
    <w:rsid w:val="44515C77"/>
    <w:rsid w:val="44702ADC"/>
    <w:rsid w:val="44B70EDF"/>
    <w:rsid w:val="44B9714E"/>
    <w:rsid w:val="44C17B15"/>
    <w:rsid w:val="44D17C5C"/>
    <w:rsid w:val="450A6A76"/>
    <w:rsid w:val="455A06DD"/>
    <w:rsid w:val="45622804"/>
    <w:rsid w:val="462B0403"/>
    <w:rsid w:val="464922BD"/>
    <w:rsid w:val="46750D27"/>
    <w:rsid w:val="46A87A32"/>
    <w:rsid w:val="46F03B34"/>
    <w:rsid w:val="47043DE4"/>
    <w:rsid w:val="4794020A"/>
    <w:rsid w:val="47EA0D3B"/>
    <w:rsid w:val="47F66D13"/>
    <w:rsid w:val="4824309D"/>
    <w:rsid w:val="485335E0"/>
    <w:rsid w:val="485A4A6D"/>
    <w:rsid w:val="48753901"/>
    <w:rsid w:val="48C07AB3"/>
    <w:rsid w:val="48EC462D"/>
    <w:rsid w:val="496B74B7"/>
    <w:rsid w:val="499C771B"/>
    <w:rsid w:val="49A24972"/>
    <w:rsid w:val="49B074DE"/>
    <w:rsid w:val="49B830A5"/>
    <w:rsid w:val="4A2E3D36"/>
    <w:rsid w:val="4A594CC9"/>
    <w:rsid w:val="4A8975E2"/>
    <w:rsid w:val="4AB40A96"/>
    <w:rsid w:val="4AD23CDB"/>
    <w:rsid w:val="4B580213"/>
    <w:rsid w:val="4B7B62CC"/>
    <w:rsid w:val="4B864F52"/>
    <w:rsid w:val="4BA821A3"/>
    <w:rsid w:val="4BBE5874"/>
    <w:rsid w:val="4C1024CB"/>
    <w:rsid w:val="4CBB6315"/>
    <w:rsid w:val="4CBD27FA"/>
    <w:rsid w:val="4D017872"/>
    <w:rsid w:val="4D0A2F11"/>
    <w:rsid w:val="4E0B44D5"/>
    <w:rsid w:val="4E1C3A1E"/>
    <w:rsid w:val="4E4639E3"/>
    <w:rsid w:val="4E5C66F2"/>
    <w:rsid w:val="4E875F77"/>
    <w:rsid w:val="4EE717C3"/>
    <w:rsid w:val="4EF1482A"/>
    <w:rsid w:val="4F202124"/>
    <w:rsid w:val="4F272B14"/>
    <w:rsid w:val="4F7566F3"/>
    <w:rsid w:val="4FA964E9"/>
    <w:rsid w:val="4FD4790F"/>
    <w:rsid w:val="502D0EC8"/>
    <w:rsid w:val="506B2634"/>
    <w:rsid w:val="50FC33D4"/>
    <w:rsid w:val="513B645D"/>
    <w:rsid w:val="513C47BE"/>
    <w:rsid w:val="51682D1D"/>
    <w:rsid w:val="51842024"/>
    <w:rsid w:val="51B644BA"/>
    <w:rsid w:val="52297536"/>
    <w:rsid w:val="523D2EB0"/>
    <w:rsid w:val="52561C19"/>
    <w:rsid w:val="526211AB"/>
    <w:rsid w:val="527E6F01"/>
    <w:rsid w:val="52A5743C"/>
    <w:rsid w:val="52B30F1D"/>
    <w:rsid w:val="52C037F0"/>
    <w:rsid w:val="530028C4"/>
    <w:rsid w:val="53186861"/>
    <w:rsid w:val="53D9422A"/>
    <w:rsid w:val="53E7441E"/>
    <w:rsid w:val="543B6F42"/>
    <w:rsid w:val="544866BC"/>
    <w:rsid w:val="544C3253"/>
    <w:rsid w:val="54796E41"/>
    <w:rsid w:val="54897F82"/>
    <w:rsid w:val="54987165"/>
    <w:rsid w:val="54E12992"/>
    <w:rsid w:val="54FF78F5"/>
    <w:rsid w:val="550F4720"/>
    <w:rsid w:val="55283137"/>
    <w:rsid w:val="557D3591"/>
    <w:rsid w:val="55807D55"/>
    <w:rsid w:val="5586209D"/>
    <w:rsid w:val="55AB279B"/>
    <w:rsid w:val="55B1750A"/>
    <w:rsid w:val="55BC7548"/>
    <w:rsid w:val="561B1BC4"/>
    <w:rsid w:val="563434D9"/>
    <w:rsid w:val="564014A9"/>
    <w:rsid w:val="569273A8"/>
    <w:rsid w:val="56AD4B11"/>
    <w:rsid w:val="57852F83"/>
    <w:rsid w:val="579F33B4"/>
    <w:rsid w:val="57B4700F"/>
    <w:rsid w:val="58080A02"/>
    <w:rsid w:val="58125F1A"/>
    <w:rsid w:val="584F1E70"/>
    <w:rsid w:val="5870271C"/>
    <w:rsid w:val="58B61095"/>
    <w:rsid w:val="58B8779D"/>
    <w:rsid w:val="59082862"/>
    <w:rsid w:val="59AF345A"/>
    <w:rsid w:val="59EE11EF"/>
    <w:rsid w:val="5A151BB2"/>
    <w:rsid w:val="5A210C85"/>
    <w:rsid w:val="5A380D5B"/>
    <w:rsid w:val="5A6C70EE"/>
    <w:rsid w:val="5A894F92"/>
    <w:rsid w:val="5ACD3292"/>
    <w:rsid w:val="5AF41453"/>
    <w:rsid w:val="5B3E042E"/>
    <w:rsid w:val="5B430FD2"/>
    <w:rsid w:val="5B9C0139"/>
    <w:rsid w:val="5BBF4E43"/>
    <w:rsid w:val="5BEE1E5F"/>
    <w:rsid w:val="5C2322C4"/>
    <w:rsid w:val="5C2C297C"/>
    <w:rsid w:val="5C560E75"/>
    <w:rsid w:val="5C873212"/>
    <w:rsid w:val="5C991B5F"/>
    <w:rsid w:val="5CF540EF"/>
    <w:rsid w:val="5D0670FB"/>
    <w:rsid w:val="5D140272"/>
    <w:rsid w:val="5D301360"/>
    <w:rsid w:val="5D3F5C02"/>
    <w:rsid w:val="5D702EFD"/>
    <w:rsid w:val="5D7762C5"/>
    <w:rsid w:val="5DDF21A6"/>
    <w:rsid w:val="5E5A7241"/>
    <w:rsid w:val="5E846F04"/>
    <w:rsid w:val="5EB051F5"/>
    <w:rsid w:val="5F0E55C6"/>
    <w:rsid w:val="5F121294"/>
    <w:rsid w:val="5F177A38"/>
    <w:rsid w:val="5F5D48CF"/>
    <w:rsid w:val="5F9D2361"/>
    <w:rsid w:val="5FC72AD9"/>
    <w:rsid w:val="5FF44368"/>
    <w:rsid w:val="60F518FC"/>
    <w:rsid w:val="61520391"/>
    <w:rsid w:val="615F7437"/>
    <w:rsid w:val="62046673"/>
    <w:rsid w:val="62412736"/>
    <w:rsid w:val="624B2CA7"/>
    <w:rsid w:val="625C563D"/>
    <w:rsid w:val="62C41F67"/>
    <w:rsid w:val="62DC3DB3"/>
    <w:rsid w:val="63035AB9"/>
    <w:rsid w:val="63574000"/>
    <w:rsid w:val="639069D2"/>
    <w:rsid w:val="639E0196"/>
    <w:rsid w:val="63F55D8A"/>
    <w:rsid w:val="63F71175"/>
    <w:rsid w:val="6477675E"/>
    <w:rsid w:val="649159AB"/>
    <w:rsid w:val="64B66057"/>
    <w:rsid w:val="64EB2666"/>
    <w:rsid w:val="65207F6E"/>
    <w:rsid w:val="653F453C"/>
    <w:rsid w:val="65444892"/>
    <w:rsid w:val="655355AB"/>
    <w:rsid w:val="6560401B"/>
    <w:rsid w:val="65C86DC4"/>
    <w:rsid w:val="65D14209"/>
    <w:rsid w:val="65E637BC"/>
    <w:rsid w:val="663D410D"/>
    <w:rsid w:val="66966DCE"/>
    <w:rsid w:val="669862CA"/>
    <w:rsid w:val="66B7264C"/>
    <w:rsid w:val="66CB5CF4"/>
    <w:rsid w:val="66F957BA"/>
    <w:rsid w:val="6728118D"/>
    <w:rsid w:val="67310DED"/>
    <w:rsid w:val="673D2743"/>
    <w:rsid w:val="683C7AA3"/>
    <w:rsid w:val="68625DF2"/>
    <w:rsid w:val="68B7406E"/>
    <w:rsid w:val="68D37EF9"/>
    <w:rsid w:val="69450730"/>
    <w:rsid w:val="696C4995"/>
    <w:rsid w:val="698B6562"/>
    <w:rsid w:val="699C1FE6"/>
    <w:rsid w:val="69B64140"/>
    <w:rsid w:val="69EC3EF3"/>
    <w:rsid w:val="6A344014"/>
    <w:rsid w:val="6A7E1A5E"/>
    <w:rsid w:val="6A984853"/>
    <w:rsid w:val="6A9A1691"/>
    <w:rsid w:val="6A9E781A"/>
    <w:rsid w:val="6AD01801"/>
    <w:rsid w:val="6B1330CE"/>
    <w:rsid w:val="6B15315D"/>
    <w:rsid w:val="6B340447"/>
    <w:rsid w:val="6B37553F"/>
    <w:rsid w:val="6B481101"/>
    <w:rsid w:val="6B6366B9"/>
    <w:rsid w:val="6B66694F"/>
    <w:rsid w:val="6BE47855"/>
    <w:rsid w:val="6C1944CE"/>
    <w:rsid w:val="6C5E5865"/>
    <w:rsid w:val="6CCC1CA7"/>
    <w:rsid w:val="6D19758E"/>
    <w:rsid w:val="6D505D9E"/>
    <w:rsid w:val="6D866F98"/>
    <w:rsid w:val="6DC14D47"/>
    <w:rsid w:val="6DCD79D9"/>
    <w:rsid w:val="6E155597"/>
    <w:rsid w:val="6EA42E3D"/>
    <w:rsid w:val="6EA93C23"/>
    <w:rsid w:val="6F1C2A86"/>
    <w:rsid w:val="6F1D6C97"/>
    <w:rsid w:val="6F3A3C6C"/>
    <w:rsid w:val="6F9A023B"/>
    <w:rsid w:val="6FCD0B86"/>
    <w:rsid w:val="70002CB1"/>
    <w:rsid w:val="70421F8D"/>
    <w:rsid w:val="70552F67"/>
    <w:rsid w:val="70885B70"/>
    <w:rsid w:val="70906150"/>
    <w:rsid w:val="709405D1"/>
    <w:rsid w:val="70BF4B22"/>
    <w:rsid w:val="710A355A"/>
    <w:rsid w:val="710E18ED"/>
    <w:rsid w:val="71251042"/>
    <w:rsid w:val="712E7E38"/>
    <w:rsid w:val="71333888"/>
    <w:rsid w:val="71746569"/>
    <w:rsid w:val="71752277"/>
    <w:rsid w:val="717A42B6"/>
    <w:rsid w:val="720C3E32"/>
    <w:rsid w:val="723F4821"/>
    <w:rsid w:val="72512344"/>
    <w:rsid w:val="727F51DE"/>
    <w:rsid w:val="72E8507B"/>
    <w:rsid w:val="72F563FE"/>
    <w:rsid w:val="73017B00"/>
    <w:rsid w:val="732419EF"/>
    <w:rsid w:val="734C3D3F"/>
    <w:rsid w:val="73662FC5"/>
    <w:rsid w:val="738D5656"/>
    <w:rsid w:val="73FD0C01"/>
    <w:rsid w:val="74094615"/>
    <w:rsid w:val="74321383"/>
    <w:rsid w:val="74614C84"/>
    <w:rsid w:val="747165CB"/>
    <w:rsid w:val="748752EF"/>
    <w:rsid w:val="74AA29DC"/>
    <w:rsid w:val="74E03EAC"/>
    <w:rsid w:val="74E83AE8"/>
    <w:rsid w:val="75400A7A"/>
    <w:rsid w:val="755D7B0F"/>
    <w:rsid w:val="758906DC"/>
    <w:rsid w:val="758916AC"/>
    <w:rsid w:val="75D44B19"/>
    <w:rsid w:val="75DE4410"/>
    <w:rsid w:val="75E679A7"/>
    <w:rsid w:val="75E821DB"/>
    <w:rsid w:val="75FF25D0"/>
    <w:rsid w:val="76427CE6"/>
    <w:rsid w:val="769F401E"/>
    <w:rsid w:val="76BE4EDB"/>
    <w:rsid w:val="76C065D9"/>
    <w:rsid w:val="76DC7101"/>
    <w:rsid w:val="76F02AAC"/>
    <w:rsid w:val="772A5FCD"/>
    <w:rsid w:val="772E11F1"/>
    <w:rsid w:val="77D317E4"/>
    <w:rsid w:val="787F57E6"/>
    <w:rsid w:val="7892370F"/>
    <w:rsid w:val="78A9633A"/>
    <w:rsid w:val="78FD5298"/>
    <w:rsid w:val="79010FBD"/>
    <w:rsid w:val="79770E15"/>
    <w:rsid w:val="79CD6225"/>
    <w:rsid w:val="7A195292"/>
    <w:rsid w:val="7A702DD0"/>
    <w:rsid w:val="7A8A3480"/>
    <w:rsid w:val="7AA14796"/>
    <w:rsid w:val="7AAB135F"/>
    <w:rsid w:val="7AB14320"/>
    <w:rsid w:val="7AB214D2"/>
    <w:rsid w:val="7AD90232"/>
    <w:rsid w:val="7B5934AB"/>
    <w:rsid w:val="7BC7563B"/>
    <w:rsid w:val="7BDE0790"/>
    <w:rsid w:val="7C0C2E57"/>
    <w:rsid w:val="7C0E7143"/>
    <w:rsid w:val="7C204295"/>
    <w:rsid w:val="7C30396B"/>
    <w:rsid w:val="7C4959A9"/>
    <w:rsid w:val="7C51134D"/>
    <w:rsid w:val="7C731CB8"/>
    <w:rsid w:val="7C857813"/>
    <w:rsid w:val="7C87593F"/>
    <w:rsid w:val="7CF92E9A"/>
    <w:rsid w:val="7D1B3EE8"/>
    <w:rsid w:val="7D22098D"/>
    <w:rsid w:val="7D23351C"/>
    <w:rsid w:val="7D274BB0"/>
    <w:rsid w:val="7D9C4DEE"/>
    <w:rsid w:val="7DA540FB"/>
    <w:rsid w:val="7DF10ED8"/>
    <w:rsid w:val="7DF46A54"/>
    <w:rsid w:val="7E2E5C88"/>
    <w:rsid w:val="7E305C54"/>
    <w:rsid w:val="7E6C0B47"/>
    <w:rsid w:val="7E7E4A89"/>
    <w:rsid w:val="7E8758AC"/>
    <w:rsid w:val="7E932F7D"/>
    <w:rsid w:val="7EB02B41"/>
    <w:rsid w:val="7EF83866"/>
    <w:rsid w:val="7F292CD9"/>
    <w:rsid w:val="7FB22C61"/>
    <w:rsid w:val="7FF67A2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2"/>
    <w:qFormat/>
    <w:uiPriority w:val="0"/>
    <w:pPr>
      <w:keepNext/>
      <w:keepLines/>
      <w:pageBreakBefore/>
      <w:widowControl/>
      <w:tabs>
        <w:tab w:val="left" w:pos="360"/>
        <w:tab w:val="left" w:pos="480"/>
      </w:tabs>
      <w:spacing w:before="120" w:after="120" w:line="360" w:lineRule="auto"/>
      <w:jc w:val="center"/>
      <w:outlineLvl w:val="0"/>
    </w:pPr>
    <w:rPr>
      <w:b/>
      <w:bCs/>
      <w:kern w:val="44"/>
      <w:sz w:val="30"/>
      <w:szCs w:val="44"/>
    </w:rPr>
  </w:style>
  <w:style w:type="paragraph" w:styleId="3">
    <w:name w:val="heading 2"/>
    <w:basedOn w:val="1"/>
    <w:next w:val="1"/>
    <w:link w:val="73"/>
    <w:qFormat/>
    <w:uiPriority w:val="0"/>
    <w:pPr>
      <w:keepNext/>
      <w:keepLines/>
      <w:spacing w:before="120" w:after="120" w:line="360" w:lineRule="auto"/>
      <w:jc w:val="center"/>
      <w:outlineLvl w:val="1"/>
    </w:pPr>
    <w:rPr>
      <w:rFonts w:ascii="Arial" w:hAnsi="Arial"/>
      <w:b/>
      <w:bCs/>
      <w:sz w:val="28"/>
      <w:szCs w:val="32"/>
    </w:rPr>
  </w:style>
  <w:style w:type="paragraph" w:styleId="4">
    <w:name w:val="heading 3"/>
    <w:basedOn w:val="1"/>
    <w:next w:val="1"/>
    <w:link w:val="74"/>
    <w:qFormat/>
    <w:uiPriority w:val="0"/>
    <w:pPr>
      <w:keepNext/>
      <w:keepLines/>
      <w:spacing w:before="120" w:after="120" w:line="360" w:lineRule="auto"/>
      <w:ind w:firstLine="200" w:firstLineChars="200"/>
      <w:outlineLvl w:val="2"/>
    </w:pPr>
    <w:rPr>
      <w:rFonts w:eastAsia="黑体"/>
      <w:b/>
      <w:bCs/>
      <w:szCs w:val="32"/>
    </w:rPr>
  </w:style>
  <w:style w:type="paragraph" w:styleId="5">
    <w:name w:val="heading 4"/>
    <w:basedOn w:val="1"/>
    <w:next w:val="1"/>
    <w:link w:val="75"/>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76"/>
    <w:qFormat/>
    <w:uiPriority w:val="0"/>
    <w:pPr>
      <w:keepNext/>
      <w:keepLines/>
      <w:spacing w:before="280" w:after="290" w:line="376" w:lineRule="auto"/>
      <w:outlineLvl w:val="4"/>
    </w:pPr>
    <w:rPr>
      <w:b/>
      <w:bCs/>
      <w:sz w:val="28"/>
      <w:szCs w:val="28"/>
    </w:rPr>
  </w:style>
  <w:style w:type="paragraph" w:styleId="7">
    <w:name w:val="heading 6"/>
    <w:basedOn w:val="1"/>
    <w:next w:val="1"/>
    <w:link w:val="77"/>
    <w:qFormat/>
    <w:uiPriority w:val="0"/>
    <w:pPr>
      <w:keepNext/>
      <w:keepLines/>
      <w:widowControl/>
      <w:tabs>
        <w:tab w:val="left" w:pos="360"/>
        <w:tab w:val="left" w:pos="1440"/>
        <w:tab w:val="left" w:pos="1560"/>
      </w:tabs>
      <w:spacing w:before="120" w:after="120" w:line="360" w:lineRule="auto"/>
      <w:jc w:val="left"/>
      <w:outlineLvl w:val="5"/>
    </w:pPr>
    <w:rPr>
      <w:rFonts w:eastAsia="黑体"/>
      <w:bCs/>
      <w:kern w:val="44"/>
      <w:sz w:val="28"/>
      <w:szCs w:val="28"/>
    </w:rPr>
  </w:style>
  <w:style w:type="paragraph" w:styleId="8">
    <w:name w:val="heading 7"/>
    <w:basedOn w:val="1"/>
    <w:next w:val="1"/>
    <w:link w:val="78"/>
    <w:qFormat/>
    <w:uiPriority w:val="0"/>
    <w:pPr>
      <w:keepNext/>
      <w:keepLines/>
      <w:widowControl/>
      <w:tabs>
        <w:tab w:val="left" w:pos="360"/>
        <w:tab w:val="left" w:pos="1800"/>
      </w:tabs>
      <w:spacing w:before="120" w:after="120" w:line="360" w:lineRule="auto"/>
      <w:jc w:val="left"/>
      <w:outlineLvl w:val="6"/>
    </w:pPr>
    <w:rPr>
      <w:rFonts w:eastAsia="黑体"/>
      <w:bCs/>
      <w:kern w:val="44"/>
      <w:sz w:val="28"/>
      <w:szCs w:val="28"/>
    </w:rPr>
  </w:style>
  <w:style w:type="paragraph" w:styleId="9">
    <w:name w:val="heading 8"/>
    <w:basedOn w:val="1"/>
    <w:next w:val="1"/>
    <w:link w:val="79"/>
    <w:qFormat/>
    <w:uiPriority w:val="0"/>
    <w:pPr>
      <w:keepNext/>
      <w:keepLines/>
      <w:spacing w:before="240" w:after="64" w:line="320" w:lineRule="auto"/>
      <w:outlineLvl w:val="7"/>
    </w:pPr>
    <w:rPr>
      <w:rFonts w:ascii="Cambria" w:hAnsi="Cambria"/>
      <w:sz w:val="24"/>
    </w:rPr>
  </w:style>
  <w:style w:type="paragraph" w:styleId="10">
    <w:name w:val="heading 9"/>
    <w:basedOn w:val="1"/>
    <w:next w:val="1"/>
    <w:link w:val="80"/>
    <w:qFormat/>
    <w:uiPriority w:val="0"/>
    <w:pPr>
      <w:keepNext/>
      <w:keepLines/>
      <w:spacing w:before="240" w:after="64" w:line="320" w:lineRule="auto"/>
      <w:outlineLvl w:val="8"/>
    </w:pPr>
    <w:rPr>
      <w:rFonts w:ascii="Arial" w:hAnsi="Arial" w:eastAsia="黑体"/>
      <w:szCs w:val="21"/>
    </w:rPr>
  </w:style>
  <w:style w:type="character" w:default="1" w:styleId="43">
    <w:name w:val="Default Paragraph Font"/>
    <w:semiHidden/>
    <w:unhideWhenUsed/>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39"/>
    <w:pPr>
      <w:spacing w:line="360" w:lineRule="auto"/>
      <w:ind w:left="2520" w:leftChars="1200" w:firstLine="200" w:firstLineChars="200"/>
      <w:jc w:val="left"/>
    </w:pPr>
    <w:rPr>
      <w:rFonts w:ascii="宋体"/>
      <w:sz w:val="24"/>
    </w:rPr>
  </w:style>
  <w:style w:type="paragraph" w:styleId="12">
    <w:name w:val="table of authorities"/>
    <w:basedOn w:val="1"/>
    <w:next w:val="1"/>
    <w:unhideWhenUsed/>
    <w:qFormat/>
    <w:uiPriority w:val="99"/>
    <w:pPr>
      <w:ind w:left="420" w:leftChars="200"/>
    </w:pPr>
  </w:style>
  <w:style w:type="paragraph" w:styleId="13">
    <w:name w:val="Normal Indent"/>
    <w:basedOn w:val="1"/>
    <w:link w:val="85"/>
    <w:qFormat/>
    <w:uiPriority w:val="0"/>
    <w:pPr>
      <w:autoSpaceDE w:val="0"/>
      <w:autoSpaceDN w:val="0"/>
      <w:adjustRightInd w:val="0"/>
      <w:spacing w:line="640" w:lineRule="exact"/>
      <w:ind w:firstLine="585"/>
    </w:pPr>
    <w:rPr>
      <w:rFonts w:ascii="楷体_GB2312" w:eastAsia="楷体_GB2312"/>
      <w:sz w:val="32"/>
      <w:szCs w:val="32"/>
    </w:rPr>
  </w:style>
  <w:style w:type="paragraph" w:styleId="14">
    <w:name w:val="caption"/>
    <w:basedOn w:val="1"/>
    <w:next w:val="1"/>
    <w:link w:val="92"/>
    <w:qFormat/>
    <w:uiPriority w:val="35"/>
    <w:pPr>
      <w:spacing w:before="152" w:after="160" w:line="360" w:lineRule="auto"/>
      <w:ind w:firstLine="200" w:firstLineChars="200"/>
      <w:jc w:val="left"/>
    </w:pPr>
    <w:rPr>
      <w:rFonts w:ascii="Arial" w:hAnsi="Arial" w:eastAsia="黑体"/>
      <w:sz w:val="20"/>
      <w:szCs w:val="20"/>
    </w:rPr>
  </w:style>
  <w:style w:type="paragraph" w:styleId="15">
    <w:name w:val="Document Map"/>
    <w:basedOn w:val="1"/>
    <w:qFormat/>
    <w:uiPriority w:val="0"/>
    <w:pPr>
      <w:shd w:val="clear" w:color="auto" w:fill="000080"/>
    </w:pPr>
  </w:style>
  <w:style w:type="paragraph" w:styleId="16">
    <w:name w:val="annotation text"/>
    <w:basedOn w:val="1"/>
    <w:link w:val="90"/>
    <w:qFormat/>
    <w:uiPriority w:val="99"/>
    <w:pPr>
      <w:spacing w:line="240" w:lineRule="auto"/>
      <w:jc w:val="left"/>
    </w:pPr>
  </w:style>
  <w:style w:type="paragraph" w:styleId="17">
    <w:name w:val="Body Text 3"/>
    <w:basedOn w:val="1"/>
    <w:next w:val="1"/>
    <w:qFormat/>
    <w:uiPriority w:val="0"/>
    <w:pPr>
      <w:spacing w:after="120"/>
    </w:pPr>
    <w:rPr>
      <w:sz w:val="16"/>
      <w:szCs w:val="16"/>
    </w:rPr>
  </w:style>
  <w:style w:type="paragraph" w:styleId="18">
    <w:name w:val="Body Text"/>
    <w:basedOn w:val="1"/>
    <w:next w:val="19"/>
    <w:link w:val="57"/>
    <w:qFormat/>
    <w:uiPriority w:val="0"/>
    <w:rPr>
      <w:color w:val="993300"/>
      <w:sz w:val="24"/>
    </w:rPr>
  </w:style>
  <w:style w:type="paragraph" w:styleId="19">
    <w:name w:val="toc 2"/>
    <w:basedOn w:val="1"/>
    <w:next w:val="1"/>
    <w:qFormat/>
    <w:uiPriority w:val="39"/>
    <w:pPr>
      <w:spacing w:line="240" w:lineRule="auto"/>
      <w:ind w:left="420" w:leftChars="200"/>
    </w:pPr>
  </w:style>
  <w:style w:type="paragraph" w:styleId="20">
    <w:name w:val="Body Text Indent"/>
    <w:basedOn w:val="1"/>
    <w:link w:val="230"/>
    <w:qFormat/>
    <w:uiPriority w:val="0"/>
    <w:pPr>
      <w:ind w:firstLine="480"/>
    </w:pPr>
    <w:rPr>
      <w:rFonts w:ascii="宋体" w:hAnsi="宋体"/>
    </w:rPr>
  </w:style>
  <w:style w:type="paragraph" w:styleId="21">
    <w:name w:val="Block Text"/>
    <w:basedOn w:val="1"/>
    <w:qFormat/>
    <w:uiPriority w:val="0"/>
    <w:pPr>
      <w:widowControl/>
      <w:ind w:left="226" w:leftChars="94" w:right="103" w:rightChars="43"/>
      <w:jc w:val="left"/>
    </w:pPr>
    <w:rPr>
      <w:rFonts w:ascii="宋体" w:hAnsi="宋体"/>
      <w:color w:val="FF0000"/>
      <w:kern w:val="0"/>
      <w:sz w:val="24"/>
    </w:rPr>
  </w:style>
  <w:style w:type="paragraph" w:styleId="22">
    <w:name w:val="toc 5"/>
    <w:basedOn w:val="1"/>
    <w:next w:val="1"/>
    <w:qFormat/>
    <w:uiPriority w:val="39"/>
    <w:pPr>
      <w:spacing w:line="360" w:lineRule="auto"/>
      <w:ind w:left="1680" w:leftChars="800" w:firstLine="200" w:firstLineChars="200"/>
      <w:jc w:val="left"/>
    </w:pPr>
    <w:rPr>
      <w:rFonts w:ascii="宋体"/>
      <w:sz w:val="24"/>
    </w:rPr>
  </w:style>
  <w:style w:type="paragraph" w:styleId="23">
    <w:name w:val="toc 3"/>
    <w:basedOn w:val="1"/>
    <w:next w:val="1"/>
    <w:qFormat/>
    <w:uiPriority w:val="39"/>
    <w:pPr>
      <w:spacing w:line="240" w:lineRule="auto"/>
      <w:ind w:left="840" w:leftChars="400"/>
    </w:pPr>
  </w:style>
  <w:style w:type="paragraph" w:styleId="24">
    <w:name w:val="Plain Text"/>
    <w:basedOn w:val="1"/>
    <w:link w:val="58"/>
    <w:qFormat/>
    <w:uiPriority w:val="99"/>
    <w:rPr>
      <w:rFonts w:ascii="宋体" w:hAnsi="Courier New"/>
      <w:szCs w:val="21"/>
    </w:rPr>
  </w:style>
  <w:style w:type="paragraph" w:styleId="25">
    <w:name w:val="toc 8"/>
    <w:basedOn w:val="1"/>
    <w:next w:val="1"/>
    <w:qFormat/>
    <w:uiPriority w:val="39"/>
    <w:pPr>
      <w:spacing w:line="360" w:lineRule="auto"/>
      <w:ind w:left="2940" w:leftChars="1400" w:firstLine="200" w:firstLineChars="200"/>
      <w:jc w:val="left"/>
    </w:pPr>
    <w:rPr>
      <w:rFonts w:ascii="宋体"/>
      <w:sz w:val="24"/>
    </w:rPr>
  </w:style>
  <w:style w:type="paragraph" w:styleId="26">
    <w:name w:val="Date"/>
    <w:basedOn w:val="1"/>
    <w:next w:val="1"/>
    <w:link w:val="87"/>
    <w:qFormat/>
    <w:uiPriority w:val="0"/>
    <w:pPr>
      <w:spacing w:line="360" w:lineRule="auto"/>
    </w:pPr>
    <w:rPr>
      <w:rFonts w:ascii="宋体"/>
      <w:sz w:val="24"/>
      <w:szCs w:val="20"/>
    </w:rPr>
  </w:style>
  <w:style w:type="paragraph" w:styleId="27">
    <w:name w:val="Body Text Indent 2"/>
    <w:basedOn w:val="1"/>
    <w:qFormat/>
    <w:uiPriority w:val="0"/>
    <w:pPr>
      <w:spacing w:after="120" w:line="480" w:lineRule="auto"/>
      <w:ind w:left="420" w:leftChars="200"/>
    </w:pPr>
  </w:style>
  <w:style w:type="paragraph" w:styleId="28">
    <w:name w:val="Balloon Text"/>
    <w:basedOn w:val="1"/>
    <w:link w:val="56"/>
    <w:qFormat/>
    <w:uiPriority w:val="99"/>
    <w:rPr>
      <w:sz w:val="18"/>
      <w:szCs w:val="18"/>
    </w:rPr>
  </w:style>
  <w:style w:type="paragraph" w:styleId="29">
    <w:name w:val="footer"/>
    <w:basedOn w:val="1"/>
    <w:link w:val="60"/>
    <w:qFormat/>
    <w:uiPriority w:val="99"/>
    <w:pPr>
      <w:tabs>
        <w:tab w:val="center" w:pos="4153"/>
        <w:tab w:val="right" w:pos="8306"/>
      </w:tabs>
      <w:snapToGrid w:val="0"/>
      <w:jc w:val="left"/>
    </w:pPr>
    <w:rPr>
      <w:sz w:val="18"/>
      <w:szCs w:val="18"/>
    </w:rPr>
  </w:style>
  <w:style w:type="paragraph" w:styleId="30">
    <w:name w:val="header"/>
    <w:basedOn w:val="1"/>
    <w:link w:val="59"/>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31">
    <w:name w:val="toc 1"/>
    <w:basedOn w:val="1"/>
    <w:next w:val="1"/>
    <w:qFormat/>
    <w:uiPriority w:val="39"/>
    <w:pPr>
      <w:tabs>
        <w:tab w:val="right" w:leader="middleDot" w:pos="8760"/>
      </w:tabs>
      <w:spacing w:line="700" w:lineRule="exact"/>
    </w:pPr>
  </w:style>
  <w:style w:type="paragraph" w:styleId="32">
    <w:name w:val="toc 4"/>
    <w:basedOn w:val="1"/>
    <w:next w:val="1"/>
    <w:qFormat/>
    <w:uiPriority w:val="39"/>
    <w:pPr>
      <w:tabs>
        <w:tab w:val="left" w:pos="1785"/>
        <w:tab w:val="right" w:leader="dot" w:pos="9345"/>
      </w:tabs>
      <w:spacing w:line="360" w:lineRule="auto"/>
      <w:ind w:left="390" w:leftChars="390"/>
      <w:jc w:val="left"/>
    </w:pPr>
    <w:rPr>
      <w:rFonts w:ascii="宋体"/>
      <w:sz w:val="24"/>
    </w:rPr>
  </w:style>
  <w:style w:type="paragraph" w:styleId="33">
    <w:name w:val="toc 6"/>
    <w:basedOn w:val="1"/>
    <w:next w:val="1"/>
    <w:qFormat/>
    <w:uiPriority w:val="39"/>
    <w:pPr>
      <w:spacing w:line="360" w:lineRule="auto"/>
      <w:ind w:left="2100" w:leftChars="1000" w:firstLine="200" w:firstLineChars="200"/>
      <w:jc w:val="left"/>
    </w:pPr>
    <w:rPr>
      <w:rFonts w:ascii="宋体"/>
      <w:sz w:val="24"/>
    </w:rPr>
  </w:style>
  <w:style w:type="paragraph" w:styleId="34">
    <w:name w:val="Body Text Indent 3"/>
    <w:basedOn w:val="1"/>
    <w:qFormat/>
    <w:uiPriority w:val="0"/>
    <w:pPr>
      <w:spacing w:after="120"/>
      <w:ind w:left="420" w:leftChars="200"/>
    </w:pPr>
    <w:rPr>
      <w:sz w:val="16"/>
      <w:szCs w:val="16"/>
    </w:rPr>
  </w:style>
  <w:style w:type="paragraph" w:styleId="35">
    <w:name w:val="toc 9"/>
    <w:basedOn w:val="1"/>
    <w:next w:val="1"/>
    <w:qFormat/>
    <w:uiPriority w:val="39"/>
    <w:pPr>
      <w:spacing w:line="240" w:lineRule="auto"/>
      <w:ind w:left="3360" w:leftChars="1600"/>
    </w:pPr>
    <w:rPr>
      <w:szCs w:val="20"/>
    </w:rPr>
  </w:style>
  <w:style w:type="paragraph" w:styleId="36">
    <w:name w:val="HTML Preformatted"/>
    <w:basedOn w:val="1"/>
    <w:link w:val="242"/>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hint="eastAsia" w:ascii="宋体" w:hAnsi="宋体"/>
      <w:kern w:val="0"/>
      <w:sz w:val="24"/>
    </w:rPr>
  </w:style>
  <w:style w:type="paragraph" w:styleId="37">
    <w:name w:val="Normal (Web)"/>
    <w:basedOn w:val="1"/>
    <w:link w:val="86"/>
    <w:qFormat/>
    <w:uiPriority w:val="0"/>
    <w:pPr>
      <w:widowControl/>
      <w:spacing w:before="100" w:beforeAutospacing="1" w:after="100" w:afterAutospacing="1" w:line="240" w:lineRule="auto"/>
      <w:jc w:val="left"/>
    </w:pPr>
    <w:rPr>
      <w:rFonts w:ascii="宋体" w:hAnsi="宋体"/>
      <w:kern w:val="0"/>
      <w:sz w:val="24"/>
    </w:rPr>
  </w:style>
  <w:style w:type="paragraph" w:styleId="38">
    <w:name w:val="index 1"/>
    <w:basedOn w:val="1"/>
    <w:next w:val="1"/>
    <w:qFormat/>
    <w:uiPriority w:val="0"/>
    <w:pPr>
      <w:spacing w:line="360" w:lineRule="auto"/>
      <w:ind w:firstLine="200" w:firstLineChars="200"/>
      <w:jc w:val="left"/>
    </w:pPr>
    <w:rPr>
      <w:sz w:val="24"/>
    </w:rPr>
  </w:style>
  <w:style w:type="paragraph" w:styleId="39">
    <w:name w:val="annotation subject"/>
    <w:basedOn w:val="16"/>
    <w:next w:val="16"/>
    <w:link w:val="93"/>
    <w:unhideWhenUsed/>
    <w:qFormat/>
    <w:uiPriority w:val="99"/>
    <w:pPr>
      <w:spacing w:line="360" w:lineRule="auto"/>
      <w:ind w:firstLine="480" w:firstLineChars="200"/>
    </w:pPr>
    <w:rPr>
      <w:b/>
      <w:bCs/>
      <w:sz w:val="24"/>
    </w:rPr>
  </w:style>
  <w:style w:type="paragraph" w:styleId="40">
    <w:name w:val="Body Text First Indent"/>
    <w:basedOn w:val="1"/>
    <w:qFormat/>
    <w:uiPriority w:val="99"/>
    <w:pPr>
      <w:spacing w:beforeLines="50" w:afterLines="50" w:line="360" w:lineRule="auto"/>
      <w:ind w:firstLine="200" w:firstLineChars="200"/>
    </w:pPr>
    <w:rPr>
      <w:kern w:val="0"/>
      <w:sz w:val="30"/>
    </w:rPr>
  </w:style>
  <w:style w:type="table" w:styleId="42">
    <w:name w:val="Table Grid"/>
    <w:basedOn w:val="41"/>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4">
    <w:name w:val="Strong"/>
    <w:basedOn w:val="43"/>
    <w:qFormat/>
    <w:uiPriority w:val="0"/>
    <w:rPr>
      <w:b/>
    </w:rPr>
  </w:style>
  <w:style w:type="character" w:styleId="45">
    <w:name w:val="page number"/>
    <w:basedOn w:val="43"/>
    <w:qFormat/>
    <w:uiPriority w:val="0"/>
  </w:style>
  <w:style w:type="character" w:styleId="46">
    <w:name w:val="FollowedHyperlink"/>
    <w:basedOn w:val="43"/>
    <w:qFormat/>
    <w:uiPriority w:val="99"/>
    <w:rPr>
      <w:color w:val="333333"/>
      <w:u w:val="none"/>
    </w:rPr>
  </w:style>
  <w:style w:type="character" w:styleId="47">
    <w:name w:val="Emphasis"/>
    <w:basedOn w:val="43"/>
    <w:qFormat/>
    <w:uiPriority w:val="0"/>
  </w:style>
  <w:style w:type="character" w:styleId="48">
    <w:name w:val="HTML Definition"/>
    <w:basedOn w:val="43"/>
    <w:qFormat/>
    <w:uiPriority w:val="0"/>
    <w:rPr>
      <w:i/>
    </w:rPr>
  </w:style>
  <w:style w:type="character" w:styleId="49">
    <w:name w:val="Hyperlink"/>
    <w:basedOn w:val="43"/>
    <w:qFormat/>
    <w:uiPriority w:val="99"/>
    <w:rPr>
      <w:color w:val="333333"/>
      <w:u w:val="none"/>
    </w:rPr>
  </w:style>
  <w:style w:type="character" w:styleId="50">
    <w:name w:val="HTML Code"/>
    <w:basedOn w:val="43"/>
    <w:qFormat/>
    <w:uiPriority w:val="0"/>
    <w:rPr>
      <w:rFonts w:hint="default" w:ascii="Consolas" w:hAnsi="Consolas" w:eastAsia="Consolas" w:cs="Consolas"/>
      <w:color w:val="C7254E"/>
      <w:sz w:val="21"/>
      <w:szCs w:val="21"/>
      <w:shd w:val="clear" w:color="auto" w:fill="F9F2F4"/>
    </w:rPr>
  </w:style>
  <w:style w:type="character" w:styleId="51">
    <w:name w:val="annotation reference"/>
    <w:basedOn w:val="43"/>
    <w:unhideWhenUsed/>
    <w:qFormat/>
    <w:uiPriority w:val="99"/>
    <w:rPr>
      <w:sz w:val="21"/>
      <w:szCs w:val="21"/>
    </w:rPr>
  </w:style>
  <w:style w:type="character" w:styleId="52">
    <w:name w:val="HTML Keyboard"/>
    <w:basedOn w:val="43"/>
    <w:qFormat/>
    <w:uiPriority w:val="0"/>
    <w:rPr>
      <w:rFonts w:hint="default" w:ascii="Consolas" w:hAnsi="Consolas" w:eastAsia="Consolas" w:cs="Consolas"/>
      <w:color w:val="FFFFFF"/>
      <w:sz w:val="21"/>
      <w:szCs w:val="21"/>
      <w:shd w:val="clear" w:color="auto" w:fill="333333"/>
    </w:rPr>
  </w:style>
  <w:style w:type="character" w:styleId="53">
    <w:name w:val="HTML Sample"/>
    <w:basedOn w:val="43"/>
    <w:qFormat/>
    <w:uiPriority w:val="0"/>
    <w:rPr>
      <w:rFonts w:ascii="Consolas" w:hAnsi="Consolas" w:eastAsia="Consolas" w:cs="Consolas"/>
      <w:sz w:val="21"/>
      <w:szCs w:val="21"/>
    </w:rPr>
  </w:style>
  <w:style w:type="paragraph" w:customStyle="1" w:styleId="54">
    <w:name w:val="正文首行缩进 21"/>
    <w:basedOn w:val="1"/>
    <w:qFormat/>
    <w:uiPriority w:val="99"/>
    <w:pPr>
      <w:ind w:left="420" w:leftChars="200" w:firstLine="210"/>
    </w:pPr>
    <w:rPr>
      <w:rFonts w:cs="Calibri"/>
      <w:szCs w:val="21"/>
    </w:rPr>
  </w:style>
  <w:style w:type="paragraph" w:customStyle="1" w:styleId="55">
    <w:name w:val="Default"/>
    <w:unhideWhenUsed/>
    <w:qFormat/>
    <w:uiPriority w:val="0"/>
    <w:pPr>
      <w:widowControl w:val="0"/>
      <w:autoSpaceDE w:val="0"/>
      <w:autoSpaceDN w:val="0"/>
      <w:adjustRightInd w:val="0"/>
    </w:pPr>
    <w:rPr>
      <w:rFonts w:hint="eastAsia" w:ascii="宋体" w:hAnsi="Times New Roman" w:eastAsia="宋体" w:cs="Times New Roman"/>
      <w:color w:val="000000"/>
      <w:sz w:val="24"/>
      <w:lang w:val="en-US" w:eastAsia="zh-CN" w:bidi="ar-SA"/>
    </w:rPr>
  </w:style>
  <w:style w:type="character" w:customStyle="1" w:styleId="56">
    <w:name w:val="批注框文本 Char"/>
    <w:basedOn w:val="43"/>
    <w:link w:val="28"/>
    <w:qFormat/>
    <w:uiPriority w:val="99"/>
    <w:rPr>
      <w:kern w:val="2"/>
      <w:sz w:val="18"/>
      <w:szCs w:val="18"/>
    </w:rPr>
  </w:style>
  <w:style w:type="character" w:customStyle="1" w:styleId="57">
    <w:name w:val="正文文本 Char"/>
    <w:basedOn w:val="43"/>
    <w:link w:val="18"/>
    <w:qFormat/>
    <w:uiPriority w:val="0"/>
    <w:rPr>
      <w:color w:val="993300"/>
      <w:kern w:val="2"/>
      <w:sz w:val="24"/>
      <w:szCs w:val="24"/>
    </w:rPr>
  </w:style>
  <w:style w:type="character" w:customStyle="1" w:styleId="58">
    <w:name w:val="纯文本 Char"/>
    <w:link w:val="24"/>
    <w:qFormat/>
    <w:locked/>
    <w:uiPriority w:val="99"/>
    <w:rPr>
      <w:rFonts w:ascii="宋体" w:hAnsi="Courier New" w:cs="Courier New"/>
      <w:kern w:val="2"/>
      <w:sz w:val="21"/>
      <w:szCs w:val="21"/>
    </w:rPr>
  </w:style>
  <w:style w:type="character" w:customStyle="1" w:styleId="59">
    <w:name w:val="页眉 Char"/>
    <w:basedOn w:val="43"/>
    <w:link w:val="30"/>
    <w:qFormat/>
    <w:uiPriority w:val="0"/>
    <w:rPr>
      <w:kern w:val="2"/>
      <w:sz w:val="18"/>
      <w:szCs w:val="18"/>
    </w:rPr>
  </w:style>
  <w:style w:type="character" w:customStyle="1" w:styleId="60">
    <w:name w:val="页脚 Char"/>
    <w:link w:val="29"/>
    <w:qFormat/>
    <w:uiPriority w:val="99"/>
    <w:rPr>
      <w:kern w:val="2"/>
      <w:sz w:val="18"/>
      <w:szCs w:val="18"/>
    </w:rPr>
  </w:style>
  <w:style w:type="character" w:customStyle="1" w:styleId="61">
    <w:name w:val="font11"/>
    <w:basedOn w:val="43"/>
    <w:qFormat/>
    <w:uiPriority w:val="0"/>
    <w:rPr>
      <w:rFonts w:hint="eastAsia" w:ascii="宋体" w:hAnsi="宋体" w:eastAsia="宋体" w:cs="宋体"/>
      <w:color w:val="000000"/>
      <w:sz w:val="18"/>
      <w:szCs w:val="18"/>
      <w:u w:val="none"/>
    </w:rPr>
  </w:style>
  <w:style w:type="character" w:customStyle="1" w:styleId="62">
    <w:name w:val="*正文 Char"/>
    <w:link w:val="63"/>
    <w:qFormat/>
    <w:uiPriority w:val="0"/>
    <w:rPr>
      <w:rFonts w:ascii="宋体" w:hAnsi="宋体"/>
      <w:kern w:val="2"/>
      <w:sz w:val="22"/>
      <w:szCs w:val="24"/>
    </w:rPr>
  </w:style>
  <w:style w:type="paragraph" w:customStyle="1" w:styleId="63">
    <w:name w:val="*正文"/>
    <w:basedOn w:val="1"/>
    <w:link w:val="62"/>
    <w:qFormat/>
    <w:uiPriority w:val="0"/>
    <w:pPr>
      <w:spacing w:line="360" w:lineRule="auto"/>
      <w:ind w:left="-62" w:firstLine="200" w:firstLineChars="200"/>
    </w:pPr>
    <w:rPr>
      <w:rFonts w:ascii="宋体" w:hAnsi="宋体"/>
      <w:sz w:val="22"/>
    </w:rPr>
  </w:style>
  <w:style w:type="character" w:customStyle="1" w:styleId="64">
    <w:name w:val="X正文 Char"/>
    <w:link w:val="65"/>
    <w:qFormat/>
    <w:uiPriority w:val="0"/>
    <w:rPr>
      <w:kern w:val="2"/>
      <w:sz w:val="28"/>
      <w:szCs w:val="24"/>
    </w:rPr>
  </w:style>
  <w:style w:type="paragraph" w:customStyle="1" w:styleId="65">
    <w:name w:val="X正文"/>
    <w:basedOn w:val="1"/>
    <w:link w:val="64"/>
    <w:qFormat/>
    <w:uiPriority w:val="0"/>
    <w:pPr>
      <w:spacing w:line="360" w:lineRule="auto"/>
      <w:ind w:firstLine="200" w:firstLineChars="200"/>
      <w:jc w:val="left"/>
    </w:pPr>
    <w:rPr>
      <w:sz w:val="28"/>
    </w:rPr>
  </w:style>
  <w:style w:type="character" w:customStyle="1" w:styleId="66">
    <w:name w:val="图纸目录 Char Char"/>
    <w:link w:val="67"/>
    <w:qFormat/>
    <w:uiPriority w:val="0"/>
    <w:rPr>
      <w:kern w:val="2"/>
      <w:sz w:val="24"/>
      <w:szCs w:val="24"/>
    </w:rPr>
  </w:style>
  <w:style w:type="paragraph" w:customStyle="1" w:styleId="67">
    <w:name w:val="图纸目录"/>
    <w:basedOn w:val="1"/>
    <w:link w:val="66"/>
    <w:qFormat/>
    <w:uiPriority w:val="0"/>
    <w:pPr>
      <w:tabs>
        <w:tab w:val="left" w:pos="840"/>
        <w:tab w:val="left" w:pos="960"/>
        <w:tab w:val="left" w:pos="1080"/>
        <w:tab w:val="right" w:pos="9379"/>
      </w:tabs>
      <w:adjustRightInd w:val="0"/>
      <w:spacing w:line="360" w:lineRule="auto"/>
    </w:pPr>
    <w:rPr>
      <w:sz w:val="24"/>
    </w:rPr>
  </w:style>
  <w:style w:type="character" w:customStyle="1" w:styleId="68">
    <w:name w:val="正文内容 Char"/>
    <w:link w:val="69"/>
    <w:qFormat/>
    <w:locked/>
    <w:uiPriority w:val="99"/>
    <w:rPr>
      <w:color w:val="000000"/>
      <w:sz w:val="24"/>
    </w:rPr>
  </w:style>
  <w:style w:type="paragraph" w:customStyle="1" w:styleId="69">
    <w:name w:val="正文内容"/>
    <w:basedOn w:val="1"/>
    <w:link w:val="68"/>
    <w:unhideWhenUsed/>
    <w:qFormat/>
    <w:uiPriority w:val="99"/>
    <w:pPr>
      <w:spacing w:beforeLines="50" w:line="360" w:lineRule="auto"/>
      <w:ind w:firstLine="200" w:firstLineChars="200"/>
    </w:pPr>
    <w:rPr>
      <w:color w:val="000000"/>
      <w:kern w:val="0"/>
      <w:sz w:val="24"/>
      <w:szCs w:val="20"/>
    </w:rPr>
  </w:style>
  <w:style w:type="character" w:customStyle="1" w:styleId="70">
    <w:name w:val="font01"/>
    <w:basedOn w:val="43"/>
    <w:qFormat/>
    <w:uiPriority w:val="0"/>
    <w:rPr>
      <w:rFonts w:hint="eastAsia" w:ascii="宋体" w:hAnsi="宋体" w:eastAsia="宋体" w:cs="宋体"/>
      <w:color w:val="FF0000"/>
      <w:sz w:val="18"/>
      <w:szCs w:val="18"/>
      <w:u w:val="none"/>
    </w:rPr>
  </w:style>
  <w:style w:type="character" w:customStyle="1" w:styleId="71">
    <w:name w:val="font31"/>
    <w:basedOn w:val="43"/>
    <w:qFormat/>
    <w:uiPriority w:val="0"/>
    <w:rPr>
      <w:rFonts w:hint="eastAsia" w:ascii="黑体" w:hAnsi="宋体" w:eastAsia="黑体" w:cs="黑体"/>
      <w:b/>
      <w:color w:val="000000"/>
      <w:sz w:val="22"/>
      <w:szCs w:val="22"/>
      <w:u w:val="none"/>
    </w:rPr>
  </w:style>
  <w:style w:type="character" w:customStyle="1" w:styleId="72">
    <w:name w:val="标题 1 Char"/>
    <w:basedOn w:val="43"/>
    <w:link w:val="2"/>
    <w:qFormat/>
    <w:uiPriority w:val="0"/>
    <w:rPr>
      <w:b/>
      <w:bCs/>
      <w:kern w:val="44"/>
      <w:sz w:val="30"/>
      <w:szCs w:val="44"/>
    </w:rPr>
  </w:style>
  <w:style w:type="character" w:customStyle="1" w:styleId="73">
    <w:name w:val="标题 2 Char"/>
    <w:basedOn w:val="43"/>
    <w:link w:val="3"/>
    <w:qFormat/>
    <w:uiPriority w:val="0"/>
    <w:rPr>
      <w:rFonts w:ascii="Arial" w:hAnsi="Arial"/>
      <w:b/>
      <w:bCs/>
      <w:kern w:val="2"/>
      <w:sz w:val="28"/>
      <w:szCs w:val="32"/>
    </w:rPr>
  </w:style>
  <w:style w:type="character" w:customStyle="1" w:styleId="74">
    <w:name w:val="标题 3 Char"/>
    <w:basedOn w:val="43"/>
    <w:link w:val="4"/>
    <w:qFormat/>
    <w:uiPriority w:val="0"/>
    <w:rPr>
      <w:rFonts w:eastAsia="黑体"/>
      <w:b/>
      <w:bCs/>
      <w:kern w:val="2"/>
      <w:sz w:val="21"/>
      <w:szCs w:val="32"/>
    </w:rPr>
  </w:style>
  <w:style w:type="character" w:customStyle="1" w:styleId="75">
    <w:name w:val="标题 4 Char"/>
    <w:basedOn w:val="43"/>
    <w:link w:val="5"/>
    <w:qFormat/>
    <w:uiPriority w:val="0"/>
    <w:rPr>
      <w:rFonts w:ascii="Arial" w:hAnsi="Arial" w:eastAsia="黑体"/>
      <w:b/>
      <w:bCs/>
      <w:kern w:val="2"/>
      <w:sz w:val="28"/>
      <w:szCs w:val="28"/>
    </w:rPr>
  </w:style>
  <w:style w:type="character" w:customStyle="1" w:styleId="76">
    <w:name w:val="标题 5 Char"/>
    <w:basedOn w:val="43"/>
    <w:link w:val="6"/>
    <w:qFormat/>
    <w:uiPriority w:val="0"/>
    <w:rPr>
      <w:b/>
      <w:bCs/>
      <w:kern w:val="2"/>
      <w:sz w:val="28"/>
      <w:szCs w:val="28"/>
    </w:rPr>
  </w:style>
  <w:style w:type="character" w:customStyle="1" w:styleId="77">
    <w:name w:val="标题 6 Char"/>
    <w:basedOn w:val="43"/>
    <w:link w:val="7"/>
    <w:qFormat/>
    <w:uiPriority w:val="0"/>
    <w:rPr>
      <w:rFonts w:eastAsia="黑体"/>
      <w:bCs/>
      <w:kern w:val="44"/>
      <w:sz w:val="28"/>
      <w:szCs w:val="28"/>
    </w:rPr>
  </w:style>
  <w:style w:type="character" w:customStyle="1" w:styleId="78">
    <w:name w:val="标题 7 Char"/>
    <w:basedOn w:val="43"/>
    <w:link w:val="8"/>
    <w:qFormat/>
    <w:uiPriority w:val="0"/>
    <w:rPr>
      <w:rFonts w:eastAsia="黑体"/>
      <w:bCs/>
      <w:kern w:val="44"/>
      <w:sz w:val="28"/>
      <w:szCs w:val="28"/>
    </w:rPr>
  </w:style>
  <w:style w:type="character" w:customStyle="1" w:styleId="79">
    <w:name w:val="标题 8 Char"/>
    <w:basedOn w:val="43"/>
    <w:link w:val="9"/>
    <w:qFormat/>
    <w:uiPriority w:val="0"/>
    <w:rPr>
      <w:rFonts w:ascii="Cambria" w:hAnsi="Cambria" w:eastAsia="宋体" w:cs="Times New Roman"/>
      <w:kern w:val="2"/>
      <w:sz w:val="24"/>
      <w:szCs w:val="24"/>
    </w:rPr>
  </w:style>
  <w:style w:type="character" w:customStyle="1" w:styleId="80">
    <w:name w:val="标题 9 Char"/>
    <w:basedOn w:val="43"/>
    <w:link w:val="10"/>
    <w:qFormat/>
    <w:uiPriority w:val="0"/>
    <w:rPr>
      <w:rFonts w:ascii="Arial" w:hAnsi="Arial" w:eastAsia="黑体"/>
      <w:kern w:val="2"/>
      <w:sz w:val="21"/>
      <w:szCs w:val="21"/>
    </w:rPr>
  </w:style>
  <w:style w:type="character" w:customStyle="1" w:styleId="81">
    <w:name w:val="Char Char Char Char"/>
    <w:basedOn w:val="43"/>
    <w:link w:val="82"/>
    <w:qFormat/>
    <w:uiPriority w:val="0"/>
    <w:rPr>
      <w:rFonts w:eastAsia="宋体"/>
      <w:kern w:val="2"/>
      <w:sz w:val="21"/>
      <w:szCs w:val="24"/>
      <w:lang w:val="en-US" w:eastAsia="zh-CN" w:bidi="ar-SA"/>
    </w:rPr>
  </w:style>
  <w:style w:type="paragraph" w:customStyle="1" w:styleId="82">
    <w:name w:val="Char"/>
    <w:basedOn w:val="1"/>
    <w:link w:val="81"/>
    <w:qFormat/>
    <w:uiPriority w:val="0"/>
    <w:pPr>
      <w:spacing w:line="240" w:lineRule="auto"/>
    </w:pPr>
  </w:style>
  <w:style w:type="character" w:customStyle="1" w:styleId="83">
    <w:name w:val="09正文_wh Char Char"/>
    <w:basedOn w:val="43"/>
    <w:link w:val="84"/>
    <w:qFormat/>
    <w:uiPriority w:val="0"/>
    <w:rPr>
      <w:sz w:val="28"/>
      <w:lang w:val="en-US" w:eastAsia="zh-CN" w:bidi="ar-SA"/>
    </w:rPr>
  </w:style>
  <w:style w:type="paragraph" w:customStyle="1" w:styleId="84">
    <w:name w:val="09正文_wh"/>
    <w:link w:val="83"/>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character" w:customStyle="1" w:styleId="85">
    <w:name w:val="正文缩进 Char"/>
    <w:basedOn w:val="43"/>
    <w:link w:val="13"/>
    <w:qFormat/>
    <w:uiPriority w:val="0"/>
    <w:rPr>
      <w:rFonts w:ascii="楷体_GB2312" w:eastAsia="楷体_GB2312"/>
      <w:sz w:val="32"/>
      <w:szCs w:val="32"/>
      <w:lang w:val="en-US" w:eastAsia="zh-CN" w:bidi="ar-SA"/>
    </w:rPr>
  </w:style>
  <w:style w:type="character" w:customStyle="1" w:styleId="86">
    <w:name w:val="普通(网站) Char"/>
    <w:link w:val="37"/>
    <w:qFormat/>
    <w:locked/>
    <w:uiPriority w:val="0"/>
    <w:rPr>
      <w:rFonts w:ascii="宋体" w:hAnsi="宋体" w:cs="宋体"/>
      <w:sz w:val="24"/>
      <w:szCs w:val="24"/>
    </w:rPr>
  </w:style>
  <w:style w:type="character" w:customStyle="1" w:styleId="87">
    <w:name w:val="日期 Char"/>
    <w:basedOn w:val="43"/>
    <w:link w:val="26"/>
    <w:qFormat/>
    <w:uiPriority w:val="0"/>
    <w:rPr>
      <w:rFonts w:ascii="宋体"/>
      <w:kern w:val="2"/>
      <w:sz w:val="24"/>
    </w:rPr>
  </w:style>
  <w:style w:type="character" w:customStyle="1" w:styleId="88">
    <w:name w:val="列出段落 Char"/>
    <w:link w:val="89"/>
    <w:qFormat/>
    <w:locked/>
    <w:uiPriority w:val="34"/>
    <w:rPr>
      <w:rFonts w:ascii="Calibri" w:hAnsi="Calibri"/>
      <w:sz w:val="24"/>
      <w:szCs w:val="24"/>
      <w:lang w:eastAsia="en-US" w:bidi="en-US"/>
    </w:rPr>
  </w:style>
  <w:style w:type="paragraph" w:styleId="89">
    <w:name w:val="List Paragraph"/>
    <w:basedOn w:val="1"/>
    <w:link w:val="88"/>
    <w:qFormat/>
    <w:uiPriority w:val="34"/>
    <w:pPr>
      <w:widowControl/>
      <w:spacing w:line="240" w:lineRule="auto"/>
      <w:ind w:left="720"/>
      <w:contextualSpacing/>
      <w:jc w:val="left"/>
    </w:pPr>
    <w:rPr>
      <w:rFonts w:ascii="Calibri" w:hAnsi="Calibri"/>
      <w:kern w:val="0"/>
      <w:sz w:val="24"/>
      <w:lang w:eastAsia="en-US" w:bidi="en-US"/>
    </w:rPr>
  </w:style>
  <w:style w:type="character" w:customStyle="1" w:styleId="90">
    <w:name w:val="批注文字 Char"/>
    <w:basedOn w:val="43"/>
    <w:link w:val="16"/>
    <w:qFormat/>
    <w:uiPriority w:val="99"/>
    <w:rPr>
      <w:kern w:val="2"/>
      <w:sz w:val="21"/>
      <w:szCs w:val="24"/>
    </w:rPr>
  </w:style>
  <w:style w:type="character" w:customStyle="1" w:styleId="91">
    <w:name w:val="纯文本 Char1"/>
    <w:qFormat/>
    <w:uiPriority w:val="99"/>
    <w:rPr>
      <w:rFonts w:ascii="宋体" w:hAnsi="Courier New" w:eastAsia="宋体"/>
      <w:sz w:val="21"/>
      <w:lang w:bidi="ar-SA"/>
    </w:rPr>
  </w:style>
  <w:style w:type="character" w:customStyle="1" w:styleId="92">
    <w:name w:val="题注 Char"/>
    <w:link w:val="14"/>
    <w:qFormat/>
    <w:uiPriority w:val="35"/>
    <w:rPr>
      <w:rFonts w:ascii="Arial" w:hAnsi="Arial" w:eastAsia="黑体" w:cs="Arial"/>
      <w:kern w:val="2"/>
    </w:rPr>
  </w:style>
  <w:style w:type="character" w:customStyle="1" w:styleId="93">
    <w:name w:val="批注主题 Char"/>
    <w:basedOn w:val="90"/>
    <w:link w:val="39"/>
    <w:qFormat/>
    <w:uiPriority w:val="99"/>
    <w:rPr>
      <w:b/>
      <w:bCs/>
      <w:kern w:val="2"/>
      <w:sz w:val="24"/>
      <w:szCs w:val="24"/>
    </w:rPr>
  </w:style>
  <w:style w:type="character" w:customStyle="1" w:styleId="94">
    <w:name w:val="段 Char"/>
    <w:link w:val="95"/>
    <w:qFormat/>
    <w:uiPriority w:val="0"/>
    <w:rPr>
      <w:rFonts w:ascii="宋体"/>
      <w:sz w:val="21"/>
      <w:lang w:val="en-US" w:eastAsia="zh-CN" w:bidi="ar-SA"/>
    </w:rPr>
  </w:style>
  <w:style w:type="paragraph" w:customStyle="1" w:styleId="95">
    <w:name w:val="段"/>
    <w:link w:val="9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96">
    <w:name w:val="font21"/>
    <w:basedOn w:val="43"/>
    <w:qFormat/>
    <w:uiPriority w:val="0"/>
    <w:rPr>
      <w:rFonts w:hint="eastAsia" w:ascii="黑体" w:hAnsi="宋体" w:eastAsia="黑体" w:cs="黑体"/>
      <w:color w:val="000000"/>
      <w:sz w:val="22"/>
      <w:szCs w:val="22"/>
      <w:u w:val="none"/>
    </w:rPr>
  </w:style>
  <w:style w:type="character" w:customStyle="1" w:styleId="97">
    <w:name w:val="列出段落 Char2"/>
    <w:qFormat/>
    <w:uiPriority w:val="34"/>
    <w:rPr>
      <w:rFonts w:ascii="Calibri" w:hAnsi="Calibri"/>
      <w:kern w:val="2"/>
      <w:sz w:val="21"/>
      <w:szCs w:val="22"/>
    </w:rPr>
  </w:style>
  <w:style w:type="paragraph" w:customStyle="1" w:styleId="98">
    <w:name w:val="xl62"/>
    <w:basedOn w:val="1"/>
    <w:qFormat/>
    <w:uiPriority w:val="0"/>
    <w:pPr>
      <w:widowControl/>
      <w:pBdr>
        <w:top w:val="single" w:color="auto" w:sz="4" w:space="0"/>
        <w:right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99">
    <w:name w:val="xl118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100">
    <w:name w:val="数字编号列项（二级）"/>
    <w:qFormat/>
    <w:uiPriority w:val="0"/>
    <w:pPr>
      <w:tabs>
        <w:tab w:val="left" w:pos="1260"/>
      </w:tabs>
      <w:ind w:left="1259" w:hanging="419"/>
      <w:jc w:val="both"/>
    </w:pPr>
    <w:rPr>
      <w:rFonts w:ascii="宋体" w:hAnsi="Times New Roman" w:eastAsia="宋体" w:cs="Times New Roman"/>
      <w:sz w:val="21"/>
      <w:lang w:val="en-US" w:eastAsia="zh-CN" w:bidi="ar-SA"/>
    </w:rPr>
  </w:style>
  <w:style w:type="paragraph" w:customStyle="1" w:styleId="101">
    <w:name w:val="Char Char Char Char Char Char Char Char Char Char"/>
    <w:basedOn w:val="1"/>
    <w:qFormat/>
    <w:uiPriority w:val="0"/>
    <w:pPr>
      <w:spacing w:line="240" w:lineRule="auto"/>
    </w:pPr>
    <w:rPr>
      <w:rFonts w:ascii="Tahoma" w:hAnsi="Tahoma"/>
      <w:sz w:val="24"/>
      <w:szCs w:val="20"/>
    </w:rPr>
  </w:style>
  <w:style w:type="paragraph" w:customStyle="1" w:styleId="102">
    <w:name w:val="xl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103">
    <w:name w:val="pa-19"/>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104">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color w:val="000000"/>
      <w:kern w:val="0"/>
      <w:sz w:val="24"/>
    </w:rPr>
  </w:style>
  <w:style w:type="paragraph" w:customStyle="1" w:styleId="105">
    <w:name w:val="目录一级"/>
    <w:basedOn w:val="31"/>
    <w:qFormat/>
    <w:uiPriority w:val="0"/>
    <w:pPr>
      <w:keepLines/>
      <w:widowControl/>
      <w:tabs>
        <w:tab w:val="left" w:pos="552"/>
        <w:tab w:val="right" w:leader="dot" w:pos="9380"/>
        <w:tab w:val="clear" w:pos="8760"/>
      </w:tabs>
      <w:spacing w:beforeLines="50" w:afterLines="50" w:line="360" w:lineRule="auto"/>
    </w:pPr>
    <w:rPr>
      <w:rFonts w:eastAsia="黑体"/>
      <w:sz w:val="24"/>
    </w:rPr>
  </w:style>
  <w:style w:type="paragraph" w:customStyle="1" w:styleId="106">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b/>
      <w:bCs/>
      <w:kern w:val="0"/>
      <w:sz w:val="28"/>
      <w:szCs w:val="28"/>
    </w:rPr>
  </w:style>
  <w:style w:type="paragraph" w:customStyle="1" w:styleId="107">
    <w:name w:val="xl58"/>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08">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109">
    <w:name w:val="xl118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110">
    <w:name w:val="字母编号列项（一级）"/>
    <w:qFormat/>
    <w:uiPriority w:val="0"/>
    <w:pPr>
      <w:tabs>
        <w:tab w:val="left" w:pos="840"/>
      </w:tabs>
      <w:ind w:left="839" w:hanging="419"/>
      <w:jc w:val="both"/>
    </w:pPr>
    <w:rPr>
      <w:rFonts w:ascii="宋体" w:hAnsi="Times New Roman" w:eastAsia="宋体" w:cs="Times New Roman"/>
      <w:sz w:val="21"/>
      <w:lang w:val="en-US" w:eastAsia="zh-CN" w:bidi="ar-SA"/>
    </w:rPr>
  </w:style>
  <w:style w:type="paragraph" w:customStyle="1" w:styleId="111">
    <w:name w:val="xl39"/>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112">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113">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114">
    <w:name w:val="xl61"/>
    <w:basedOn w:val="1"/>
    <w:qFormat/>
    <w:uiPriority w:val="0"/>
    <w:pPr>
      <w:widowControl/>
      <w:pBdr>
        <w:top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15">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116">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rPr>
  </w:style>
  <w:style w:type="paragraph" w:customStyle="1" w:styleId="117">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kern w:val="0"/>
      <w:sz w:val="24"/>
    </w:rPr>
  </w:style>
  <w:style w:type="paragraph" w:customStyle="1" w:styleId="118">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119">
    <w:name w:val="font8"/>
    <w:basedOn w:val="1"/>
    <w:qFormat/>
    <w:uiPriority w:val="0"/>
    <w:pPr>
      <w:widowControl/>
      <w:spacing w:before="100" w:beforeAutospacing="1" w:after="100" w:afterAutospacing="1" w:line="240" w:lineRule="auto"/>
      <w:jc w:val="left"/>
    </w:pPr>
    <w:rPr>
      <w:rFonts w:ascii="宋体" w:hAnsi="宋体" w:cs="宋体"/>
      <w:kern w:val="0"/>
      <w:sz w:val="18"/>
      <w:szCs w:val="18"/>
    </w:rPr>
  </w:style>
  <w:style w:type="paragraph" w:customStyle="1" w:styleId="120">
    <w:name w:val="xl118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0"/>
      <w:szCs w:val="20"/>
    </w:rPr>
  </w:style>
  <w:style w:type="paragraph" w:customStyle="1" w:styleId="121">
    <w:name w:val="Char Char3"/>
    <w:basedOn w:val="1"/>
    <w:qFormat/>
    <w:uiPriority w:val="0"/>
    <w:pPr>
      <w:spacing w:line="240" w:lineRule="auto"/>
    </w:pPr>
  </w:style>
  <w:style w:type="paragraph" w:customStyle="1" w:styleId="122">
    <w:name w:val="font9"/>
    <w:basedOn w:val="1"/>
    <w:qFormat/>
    <w:uiPriority w:val="0"/>
    <w:pPr>
      <w:widowControl/>
      <w:spacing w:before="100" w:beforeAutospacing="1" w:after="100" w:afterAutospacing="1" w:line="240" w:lineRule="auto"/>
      <w:jc w:val="left"/>
    </w:pPr>
    <w:rPr>
      <w:rFonts w:ascii="华文细黑" w:hAnsi="华文细黑" w:eastAsia="华文细黑" w:cs="宋体"/>
      <w:b/>
      <w:bCs/>
      <w:kern w:val="0"/>
      <w:szCs w:val="21"/>
    </w:rPr>
  </w:style>
  <w:style w:type="paragraph" w:customStyle="1" w:styleId="123">
    <w:name w:val="font5"/>
    <w:basedOn w:val="1"/>
    <w:qFormat/>
    <w:uiPriority w:val="0"/>
    <w:pPr>
      <w:widowControl/>
      <w:spacing w:before="100" w:beforeAutospacing="1" w:after="100" w:afterAutospacing="1" w:line="240" w:lineRule="auto"/>
      <w:jc w:val="left"/>
    </w:pPr>
    <w:rPr>
      <w:rFonts w:ascii="宋体" w:hAnsi="宋体" w:cs="宋体"/>
      <w:kern w:val="0"/>
      <w:sz w:val="18"/>
      <w:szCs w:val="18"/>
    </w:rPr>
  </w:style>
  <w:style w:type="paragraph" w:customStyle="1" w:styleId="124">
    <w:name w:val="Char Char Char Char Char Char Char Char Char Char Char1 Char Char Char Char Char Char Char Char Char Char Char Char"/>
    <w:basedOn w:val="1"/>
    <w:qFormat/>
    <w:uiPriority w:val="0"/>
    <w:pPr>
      <w:spacing w:line="240" w:lineRule="auto"/>
    </w:pPr>
    <w:rPr>
      <w:rFonts w:ascii="Tahoma" w:hAnsi="Tahoma"/>
      <w:sz w:val="24"/>
    </w:rPr>
  </w:style>
  <w:style w:type="paragraph" w:customStyle="1" w:styleId="125">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kern w:val="0"/>
      <w:sz w:val="24"/>
    </w:rPr>
  </w:style>
  <w:style w:type="paragraph" w:customStyle="1" w:styleId="126">
    <w:name w:val="列出段落1"/>
    <w:basedOn w:val="1"/>
    <w:qFormat/>
    <w:uiPriority w:val="34"/>
    <w:pPr>
      <w:spacing w:line="240" w:lineRule="auto"/>
      <w:ind w:firstLine="420" w:firstLineChars="200"/>
    </w:pPr>
    <w:rPr>
      <w:rFonts w:ascii="Calibri" w:hAnsi="Calibri"/>
      <w:szCs w:val="22"/>
    </w:rPr>
  </w:style>
  <w:style w:type="paragraph" w:customStyle="1" w:styleId="127">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color w:val="000000"/>
      <w:kern w:val="0"/>
      <w:sz w:val="24"/>
    </w:rPr>
  </w:style>
  <w:style w:type="paragraph" w:customStyle="1" w:styleId="128">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rPr>
  </w:style>
  <w:style w:type="paragraph" w:customStyle="1" w:styleId="129">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130">
    <w:name w:val="图纸编号"/>
    <w:basedOn w:val="67"/>
    <w:qFormat/>
    <w:uiPriority w:val="0"/>
    <w:pPr>
      <w:jc w:val="right"/>
    </w:pPr>
    <w:rPr>
      <w:rFonts w:cs="宋体"/>
    </w:rPr>
  </w:style>
  <w:style w:type="paragraph" w:customStyle="1" w:styleId="131">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color w:val="000000"/>
      <w:kern w:val="0"/>
      <w:sz w:val="24"/>
    </w:rPr>
  </w:style>
  <w:style w:type="paragraph" w:customStyle="1" w:styleId="132">
    <w:name w:val="xl55"/>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133">
    <w:name w:val="目录二级"/>
    <w:basedOn w:val="19"/>
    <w:qFormat/>
    <w:uiPriority w:val="0"/>
    <w:pPr>
      <w:keepLines/>
      <w:widowControl/>
      <w:tabs>
        <w:tab w:val="left" w:pos="735"/>
        <w:tab w:val="right" w:leader="dot" w:pos="9380"/>
      </w:tabs>
      <w:spacing w:line="360" w:lineRule="auto"/>
      <w:ind w:left="130" w:leftChars="130"/>
    </w:pPr>
    <w:rPr>
      <w:rFonts w:cs="宋体"/>
      <w:sz w:val="24"/>
    </w:rPr>
  </w:style>
  <w:style w:type="paragraph" w:customStyle="1" w:styleId="134">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rPr>
  </w:style>
  <w:style w:type="paragraph" w:customStyle="1" w:styleId="135">
    <w:name w:val="xl56"/>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36">
    <w:name w:val="正文缩进1"/>
    <w:basedOn w:val="1"/>
    <w:qFormat/>
    <w:uiPriority w:val="0"/>
    <w:pPr>
      <w:spacing w:line="240" w:lineRule="auto"/>
      <w:ind w:firstLine="420" w:firstLineChars="200"/>
    </w:pPr>
    <w:rPr>
      <w:szCs w:val="20"/>
    </w:rPr>
  </w:style>
  <w:style w:type="paragraph" w:customStyle="1" w:styleId="137">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rPr>
  </w:style>
  <w:style w:type="paragraph" w:customStyle="1" w:styleId="138">
    <w:name w:val="xl118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139">
    <w:name w:val="List Paragraph1"/>
    <w:basedOn w:val="1"/>
    <w:qFormat/>
    <w:uiPriority w:val="0"/>
    <w:pPr>
      <w:ind w:firstLine="420" w:firstLineChars="200"/>
    </w:pPr>
  </w:style>
  <w:style w:type="paragraph" w:customStyle="1" w:styleId="140">
    <w:name w:val="xl51"/>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41">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142">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kern w:val="0"/>
      <w:sz w:val="24"/>
    </w:rPr>
  </w:style>
  <w:style w:type="paragraph" w:customStyle="1" w:styleId="143">
    <w:name w:val="样式 目录 2 + 左侧:  1.3 字符"/>
    <w:basedOn w:val="19"/>
    <w:qFormat/>
    <w:uiPriority w:val="0"/>
    <w:pPr>
      <w:keepLines/>
      <w:widowControl/>
      <w:tabs>
        <w:tab w:val="left" w:pos="735"/>
        <w:tab w:val="right" w:leader="dot" w:pos="9380"/>
      </w:tabs>
      <w:spacing w:line="360" w:lineRule="auto"/>
      <w:ind w:left="312" w:leftChars="130"/>
    </w:pPr>
    <w:rPr>
      <w:rFonts w:cs="宋体"/>
      <w:sz w:val="24"/>
      <w:szCs w:val="20"/>
    </w:rPr>
  </w:style>
  <w:style w:type="paragraph" w:customStyle="1" w:styleId="144">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kern w:val="0"/>
      <w:sz w:val="24"/>
    </w:rPr>
  </w:style>
  <w:style w:type="paragraph" w:customStyle="1" w:styleId="145">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rPr>
  </w:style>
  <w:style w:type="paragraph" w:customStyle="1" w:styleId="146">
    <w:name w:val="目录三级"/>
    <w:basedOn w:val="23"/>
    <w:qFormat/>
    <w:uiPriority w:val="0"/>
    <w:pPr>
      <w:tabs>
        <w:tab w:val="left" w:pos="1155"/>
        <w:tab w:val="right" w:leader="dot" w:pos="9380"/>
      </w:tabs>
      <w:spacing w:line="360" w:lineRule="auto"/>
      <w:ind w:left="220" w:leftChars="220"/>
    </w:pPr>
    <w:rPr>
      <w:rFonts w:cs="宋体"/>
      <w:sz w:val="24"/>
    </w:rPr>
  </w:style>
  <w:style w:type="paragraph" w:customStyle="1" w:styleId="147">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kern w:val="0"/>
      <w:sz w:val="24"/>
    </w:rPr>
  </w:style>
  <w:style w:type="paragraph" w:customStyle="1" w:styleId="148">
    <w:name w:val="样式3"/>
    <w:basedOn w:val="24"/>
    <w:qFormat/>
    <w:uiPriority w:val="0"/>
    <w:pPr>
      <w:spacing w:line="0" w:lineRule="atLeast"/>
      <w:outlineLvl w:val="0"/>
    </w:pPr>
    <w:rPr>
      <w:sz w:val="28"/>
      <w:szCs w:val="24"/>
    </w:rPr>
  </w:style>
  <w:style w:type="paragraph" w:customStyle="1" w:styleId="149">
    <w:name w:val="表格内容五号"/>
    <w:basedOn w:val="1"/>
    <w:qFormat/>
    <w:uiPriority w:val="0"/>
    <w:pPr>
      <w:spacing w:line="240" w:lineRule="auto"/>
      <w:jc w:val="center"/>
    </w:pPr>
    <w:rPr>
      <w:rFonts w:cs="Arial Unicode MS"/>
      <w:kern w:val="0"/>
      <w:szCs w:val="21"/>
    </w:rPr>
  </w:style>
  <w:style w:type="paragraph" w:customStyle="1" w:styleId="150">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kern w:val="0"/>
      <w:sz w:val="24"/>
    </w:rPr>
  </w:style>
  <w:style w:type="paragraph" w:customStyle="1" w:styleId="151">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152">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kern w:val="0"/>
      <w:sz w:val="24"/>
    </w:rPr>
  </w:style>
  <w:style w:type="paragraph" w:customStyle="1" w:styleId="153">
    <w:name w:val="表格"/>
    <w:basedOn w:val="1"/>
    <w:semiHidden/>
    <w:qFormat/>
    <w:uiPriority w:val="0"/>
    <w:pPr>
      <w:widowControl/>
      <w:tabs>
        <w:tab w:val="left" w:pos="960"/>
        <w:tab w:val="left" w:pos="3828"/>
      </w:tabs>
      <w:overflowPunct w:val="0"/>
      <w:autoSpaceDE w:val="0"/>
      <w:autoSpaceDN w:val="0"/>
      <w:adjustRightInd w:val="0"/>
      <w:spacing w:line="400" w:lineRule="atLeast"/>
      <w:ind w:right="-108" w:firstLine="480" w:firstLineChars="200"/>
      <w:jc w:val="center"/>
      <w:textAlignment w:val="baseline"/>
    </w:pPr>
    <w:rPr>
      <w:rFonts w:ascii="宋体"/>
      <w:color w:val="000000"/>
      <w:kern w:val="0"/>
      <w:sz w:val="24"/>
      <w:szCs w:val="20"/>
    </w:rPr>
  </w:style>
  <w:style w:type="paragraph" w:customStyle="1" w:styleId="154">
    <w:name w:val="封面下部"/>
    <w:basedOn w:val="1"/>
    <w:qFormat/>
    <w:uiPriority w:val="0"/>
    <w:pPr>
      <w:tabs>
        <w:tab w:val="left" w:pos="8280"/>
      </w:tabs>
      <w:adjustRightInd w:val="0"/>
      <w:spacing w:line="360" w:lineRule="auto"/>
      <w:ind w:right="26"/>
      <w:jc w:val="center"/>
      <w:outlineLvl w:val="0"/>
    </w:pPr>
    <w:rPr>
      <w:rFonts w:ascii="Arial" w:eastAsia="黑体"/>
      <w:color w:val="000000"/>
      <w:kern w:val="0"/>
      <w:sz w:val="32"/>
      <w:szCs w:val="20"/>
    </w:rPr>
  </w:style>
  <w:style w:type="paragraph" w:customStyle="1" w:styleId="155">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color w:val="000000"/>
      <w:kern w:val="0"/>
      <w:sz w:val="24"/>
    </w:rPr>
  </w:style>
  <w:style w:type="paragraph" w:customStyle="1" w:styleId="156">
    <w:name w:val="表格内容小五"/>
    <w:basedOn w:val="149"/>
    <w:qFormat/>
    <w:uiPriority w:val="0"/>
    <w:rPr>
      <w:sz w:val="18"/>
      <w:szCs w:val="18"/>
    </w:rPr>
  </w:style>
  <w:style w:type="paragraph" w:customStyle="1" w:styleId="157">
    <w:name w:val="xl57"/>
    <w:basedOn w:val="1"/>
    <w:qFormat/>
    <w:uiPriority w:val="0"/>
    <w:pPr>
      <w:widowControl/>
      <w:pBdr>
        <w:top w:val="single" w:color="auto" w:sz="4" w:space="0"/>
        <w:bottom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58">
    <w:name w:val="封面上部"/>
    <w:basedOn w:val="1"/>
    <w:qFormat/>
    <w:uiPriority w:val="0"/>
    <w:pPr>
      <w:tabs>
        <w:tab w:val="left" w:pos="8280"/>
      </w:tabs>
      <w:adjustRightInd w:val="0"/>
      <w:spacing w:line="360" w:lineRule="auto"/>
      <w:ind w:right="26"/>
      <w:jc w:val="center"/>
      <w:outlineLvl w:val="0"/>
    </w:pPr>
    <w:rPr>
      <w:rFonts w:ascii="Arial" w:eastAsia="黑体"/>
      <w:color w:val="000000"/>
      <w:kern w:val="0"/>
      <w:sz w:val="32"/>
      <w:szCs w:val="20"/>
    </w:rPr>
  </w:style>
  <w:style w:type="paragraph" w:customStyle="1" w:styleId="159">
    <w:name w:val="xl60"/>
    <w:basedOn w:val="1"/>
    <w:qFormat/>
    <w:uiPriority w:val="0"/>
    <w:pPr>
      <w:widowControl/>
      <w:pBdr>
        <w:top w:val="single" w:color="auto" w:sz="4" w:space="0"/>
        <w:left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60">
    <w:name w:val="xl118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0"/>
      <w:szCs w:val="20"/>
    </w:rPr>
  </w:style>
  <w:style w:type="paragraph" w:customStyle="1" w:styleId="161">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62">
    <w:name w:val="封面中部"/>
    <w:basedOn w:val="1"/>
    <w:qFormat/>
    <w:uiPriority w:val="0"/>
    <w:pPr>
      <w:tabs>
        <w:tab w:val="left" w:pos="2977"/>
        <w:tab w:val="left" w:pos="8280"/>
      </w:tabs>
      <w:adjustRightInd w:val="0"/>
      <w:spacing w:line="360" w:lineRule="auto"/>
      <w:ind w:right="26"/>
      <w:outlineLvl w:val="0"/>
    </w:pPr>
    <w:rPr>
      <w:rFonts w:ascii="Arial"/>
      <w:color w:val="000000"/>
      <w:kern w:val="0"/>
      <w:sz w:val="32"/>
      <w:szCs w:val="20"/>
    </w:rPr>
  </w:style>
  <w:style w:type="paragraph" w:customStyle="1" w:styleId="163">
    <w:name w:val="xl50"/>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ascii="宋体" w:hAnsi="宋体" w:cs="宋体"/>
      <w:b/>
      <w:bCs/>
      <w:kern w:val="0"/>
      <w:sz w:val="24"/>
    </w:rPr>
  </w:style>
  <w:style w:type="paragraph" w:customStyle="1" w:styleId="164">
    <w:name w:val="目录标题"/>
    <w:basedOn w:val="1"/>
    <w:qFormat/>
    <w:uiPriority w:val="0"/>
    <w:pPr>
      <w:keepNext/>
      <w:keepLines/>
      <w:widowControl/>
      <w:spacing w:beforeLines="100" w:afterLines="100" w:line="240" w:lineRule="auto"/>
      <w:jc w:val="center"/>
    </w:pPr>
    <w:rPr>
      <w:rFonts w:eastAsia="黑体" w:cs="宋体"/>
      <w:color w:val="000000"/>
      <w:spacing w:val="200"/>
      <w:kern w:val="0"/>
      <w:sz w:val="32"/>
      <w:szCs w:val="32"/>
    </w:rPr>
  </w:style>
  <w:style w:type="paragraph" w:customStyle="1" w:styleId="165">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color w:val="000000"/>
      <w:kern w:val="0"/>
      <w:sz w:val="24"/>
    </w:rPr>
  </w:style>
  <w:style w:type="paragraph" w:customStyle="1" w:styleId="166">
    <w:name w:val="xl118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167">
    <w:name w:val="04正文二级标题"/>
    <w:qFormat/>
    <w:uiPriority w:val="0"/>
    <w:pPr>
      <w:spacing w:line="300" w:lineRule="auto"/>
      <w:ind w:firstLine="200" w:firstLineChars="200"/>
      <w:jc w:val="both"/>
    </w:pPr>
    <w:rPr>
      <w:rFonts w:ascii="Times New Roman" w:hAnsi="Times New Roman" w:eastAsia="黑体" w:cs="Times New Roman"/>
      <w:sz w:val="28"/>
      <w:lang w:val="en-US" w:eastAsia="zh-CN" w:bidi="ar-SA"/>
    </w:rPr>
  </w:style>
  <w:style w:type="paragraph" w:customStyle="1" w:styleId="168">
    <w:name w:val="xl118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169">
    <w:name w:val="xl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kern w:val="0"/>
      <w:sz w:val="28"/>
      <w:szCs w:val="28"/>
    </w:rPr>
  </w:style>
  <w:style w:type="paragraph" w:customStyle="1" w:styleId="170">
    <w:name w:val="fm标题"/>
    <w:basedOn w:val="1"/>
    <w:qFormat/>
    <w:uiPriority w:val="0"/>
    <w:pPr>
      <w:adjustRightInd w:val="0"/>
      <w:snapToGrid w:val="0"/>
      <w:spacing w:line="360" w:lineRule="auto"/>
      <w:jc w:val="center"/>
    </w:pPr>
    <w:rPr>
      <w:rFonts w:ascii="文鼎大标宋简" w:hAnsi="Arial" w:eastAsia="文鼎大标宋简"/>
      <w:sz w:val="56"/>
      <w:szCs w:val="20"/>
    </w:rPr>
  </w:style>
  <w:style w:type="paragraph" w:customStyle="1" w:styleId="171">
    <w:name w:val="Char2 Char Char Char"/>
    <w:basedOn w:val="1"/>
    <w:qFormat/>
    <w:uiPriority w:val="0"/>
    <w:pPr>
      <w:spacing w:line="240" w:lineRule="auto"/>
    </w:pPr>
    <w:rPr>
      <w:rFonts w:ascii="Tahoma" w:hAnsi="Tahoma"/>
      <w:sz w:val="24"/>
      <w:szCs w:val="20"/>
    </w:rPr>
  </w:style>
  <w:style w:type="paragraph" w:customStyle="1" w:styleId="172">
    <w:name w:val="样式 标题 2 + Times New Roman 四号 非加粗 段前: 5 磅 段后: 0 磅 行距: 固定值 20..."/>
    <w:basedOn w:val="3"/>
    <w:qFormat/>
    <w:uiPriority w:val="0"/>
    <w:pPr>
      <w:spacing w:before="100" w:after="0" w:line="400" w:lineRule="exact"/>
      <w:jc w:val="both"/>
    </w:pPr>
    <w:rPr>
      <w:rFonts w:ascii="Times New Roman" w:hAnsi="Times New Roman" w:eastAsia="黑体" w:cs="宋体"/>
      <w:b w:val="0"/>
      <w:bCs w:val="0"/>
      <w:kern w:val="0"/>
      <w:szCs w:val="20"/>
    </w:rPr>
  </w:style>
  <w:style w:type="paragraph" w:customStyle="1" w:styleId="173">
    <w:name w:val="font7"/>
    <w:basedOn w:val="1"/>
    <w:qFormat/>
    <w:uiPriority w:val="0"/>
    <w:pPr>
      <w:widowControl/>
      <w:spacing w:before="100" w:beforeAutospacing="1" w:after="100" w:afterAutospacing="1" w:line="240" w:lineRule="auto"/>
      <w:jc w:val="left"/>
    </w:pPr>
    <w:rPr>
      <w:rFonts w:ascii="等线" w:hAnsi="等线" w:eastAsia="等线" w:cs="宋体"/>
      <w:kern w:val="0"/>
      <w:sz w:val="18"/>
      <w:szCs w:val="18"/>
    </w:rPr>
  </w:style>
  <w:style w:type="paragraph" w:customStyle="1" w:styleId="174">
    <w:name w:val="正文样式"/>
    <w:basedOn w:val="1"/>
    <w:qFormat/>
    <w:uiPriority w:val="0"/>
    <w:pPr>
      <w:tabs>
        <w:tab w:val="left" w:pos="1560"/>
      </w:tabs>
      <w:spacing w:before="163" w:after="163" w:line="300" w:lineRule="auto"/>
      <w:ind w:left="1560" w:hanging="360" w:firstLineChars="200"/>
    </w:pPr>
    <w:rPr>
      <w:rFonts w:ascii="宋体" w:hAnsi="等线" w:eastAsia="等线"/>
      <w:sz w:val="24"/>
    </w:rPr>
  </w:style>
  <w:style w:type="paragraph" w:customStyle="1" w:styleId="175">
    <w:name w:val="xl118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176">
    <w:name w:val="TOC 标题1"/>
    <w:basedOn w:val="2"/>
    <w:next w:val="1"/>
    <w:unhideWhenUsed/>
    <w:qFormat/>
    <w:uiPriority w:val="39"/>
    <w:pPr>
      <w:spacing w:before="480" w:line="276" w:lineRule="auto"/>
      <w:jc w:val="left"/>
      <w:outlineLvl w:val="9"/>
    </w:pPr>
    <w:rPr>
      <w:rFonts w:ascii="Cambria" w:hAnsi="Cambria" w:eastAsia="黑体"/>
      <w:b w:val="0"/>
      <w:color w:val="365F91"/>
      <w:kern w:val="0"/>
      <w:sz w:val="28"/>
      <w:szCs w:val="28"/>
    </w:rPr>
  </w:style>
  <w:style w:type="paragraph" w:customStyle="1" w:styleId="177">
    <w:name w:val="xl11850"/>
    <w:basedOn w:val="1"/>
    <w:qFormat/>
    <w:uiPriority w:val="0"/>
    <w:pPr>
      <w:widowControl/>
      <w:spacing w:before="100" w:beforeAutospacing="1" w:after="100" w:afterAutospacing="1" w:line="240" w:lineRule="auto"/>
      <w:jc w:val="left"/>
    </w:pPr>
    <w:rPr>
      <w:rFonts w:ascii="华文细黑" w:hAnsi="华文细黑" w:eastAsia="华文细黑" w:cs="宋体"/>
      <w:color w:val="000000"/>
      <w:kern w:val="0"/>
      <w:sz w:val="24"/>
    </w:rPr>
  </w:style>
  <w:style w:type="paragraph" w:customStyle="1" w:styleId="178">
    <w:name w:val="样式 5"/>
    <w:basedOn w:val="6"/>
    <w:next w:val="1"/>
    <w:qFormat/>
    <w:uiPriority w:val="0"/>
    <w:pPr>
      <w:widowControl/>
      <w:tabs>
        <w:tab w:val="left" w:pos="360"/>
        <w:tab w:val="left" w:pos="1080"/>
        <w:tab w:val="left" w:pos="1440"/>
      </w:tabs>
      <w:spacing w:before="120" w:after="120" w:line="360" w:lineRule="auto"/>
      <w:ind w:left="240" w:leftChars="100" w:hanging="850"/>
      <w:jc w:val="left"/>
    </w:pPr>
    <w:rPr>
      <w:rFonts w:ascii="仿宋" w:hAnsi="仿宋" w:eastAsia="仿宋"/>
      <w:b w:val="0"/>
      <w:kern w:val="44"/>
    </w:rPr>
  </w:style>
  <w:style w:type="paragraph" w:customStyle="1" w:styleId="179">
    <w:name w:val="xl11851"/>
    <w:basedOn w:val="1"/>
    <w:qFormat/>
    <w:uiPriority w:val="0"/>
    <w:pPr>
      <w:widowControl/>
      <w:spacing w:before="100" w:beforeAutospacing="1" w:after="100" w:afterAutospacing="1" w:line="240" w:lineRule="auto"/>
      <w:jc w:val="center"/>
    </w:pPr>
    <w:rPr>
      <w:rFonts w:ascii="华文细黑" w:hAnsi="华文细黑" w:eastAsia="华文细黑" w:cs="宋体"/>
      <w:color w:val="000000"/>
      <w:kern w:val="0"/>
      <w:sz w:val="24"/>
    </w:rPr>
  </w:style>
  <w:style w:type="paragraph" w:customStyle="1" w:styleId="180">
    <w:name w:val="样式 行距: 固定值 14 磅"/>
    <w:basedOn w:val="1"/>
    <w:qFormat/>
    <w:uiPriority w:val="0"/>
    <w:pPr>
      <w:spacing w:line="500" w:lineRule="exact"/>
      <w:ind w:firstLine="560" w:firstLineChars="200"/>
      <w:jc w:val="left"/>
    </w:pPr>
    <w:rPr>
      <w:sz w:val="28"/>
      <w:szCs w:val="20"/>
    </w:rPr>
  </w:style>
  <w:style w:type="paragraph" w:customStyle="1" w:styleId="181">
    <w:name w:val="正文二级项目列"/>
    <w:basedOn w:val="1"/>
    <w:qFormat/>
    <w:uiPriority w:val="0"/>
    <w:pPr>
      <w:tabs>
        <w:tab w:val="left" w:pos="0"/>
        <w:tab w:val="left" w:pos="840"/>
      </w:tabs>
      <w:spacing w:line="360" w:lineRule="auto"/>
      <w:jc w:val="left"/>
    </w:pPr>
    <w:rPr>
      <w:sz w:val="24"/>
    </w:rPr>
  </w:style>
  <w:style w:type="paragraph" w:customStyle="1" w:styleId="182">
    <w:name w:val="正文三级项目列"/>
    <w:basedOn w:val="1"/>
    <w:qFormat/>
    <w:uiPriority w:val="0"/>
    <w:pPr>
      <w:tabs>
        <w:tab w:val="left" w:pos="0"/>
        <w:tab w:val="left" w:pos="840"/>
      </w:tabs>
      <w:spacing w:line="360" w:lineRule="auto"/>
      <w:jc w:val="left"/>
    </w:pPr>
    <w:rPr>
      <w:sz w:val="24"/>
    </w:rPr>
  </w:style>
  <w:style w:type="paragraph" w:customStyle="1" w:styleId="183">
    <w:name w:val="正文一级项目列"/>
    <w:basedOn w:val="1"/>
    <w:qFormat/>
    <w:uiPriority w:val="0"/>
    <w:pPr>
      <w:tabs>
        <w:tab w:val="left" w:pos="0"/>
        <w:tab w:val="left" w:pos="840"/>
      </w:tabs>
      <w:spacing w:line="360" w:lineRule="auto"/>
      <w:jc w:val="left"/>
    </w:pPr>
    <w:rPr>
      <w:sz w:val="24"/>
    </w:rPr>
  </w:style>
  <w:style w:type="paragraph" w:customStyle="1" w:styleId="184">
    <w:name w:val="正文一级项目列（V1）"/>
    <w:basedOn w:val="1"/>
    <w:qFormat/>
    <w:uiPriority w:val="0"/>
    <w:pPr>
      <w:tabs>
        <w:tab w:val="left" w:pos="0"/>
        <w:tab w:val="left" w:pos="840"/>
      </w:tabs>
      <w:spacing w:line="360" w:lineRule="auto"/>
      <w:ind w:firstLine="482"/>
      <w:jc w:val="left"/>
    </w:pPr>
    <w:rPr>
      <w:sz w:val="24"/>
    </w:rPr>
  </w:style>
  <w:style w:type="paragraph" w:customStyle="1" w:styleId="185">
    <w:name w:val="fm单位"/>
    <w:qFormat/>
    <w:uiPriority w:val="0"/>
    <w:pPr>
      <w:jc w:val="center"/>
    </w:pPr>
    <w:rPr>
      <w:rFonts w:ascii="Arial" w:hAnsi="Arial" w:eastAsia="黑体" w:cs="Times New Roman"/>
      <w:kern w:val="2"/>
      <w:sz w:val="32"/>
      <w:lang w:val="en-US" w:eastAsia="zh-CN" w:bidi="ar-SA"/>
    </w:rPr>
  </w:style>
  <w:style w:type="paragraph" w:customStyle="1" w:styleId="186">
    <w:name w:val="msonormal"/>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187">
    <w:name w:val="font6"/>
    <w:basedOn w:val="1"/>
    <w:qFormat/>
    <w:uiPriority w:val="0"/>
    <w:pPr>
      <w:widowControl/>
      <w:spacing w:before="100" w:beforeAutospacing="1" w:after="100" w:afterAutospacing="1" w:line="240" w:lineRule="auto"/>
      <w:jc w:val="left"/>
    </w:pPr>
    <w:rPr>
      <w:rFonts w:ascii="宋体" w:hAnsi="宋体" w:cs="宋体"/>
      <w:kern w:val="0"/>
      <w:sz w:val="18"/>
      <w:szCs w:val="18"/>
    </w:rPr>
  </w:style>
  <w:style w:type="paragraph" w:customStyle="1" w:styleId="188">
    <w:name w:val="font10"/>
    <w:basedOn w:val="1"/>
    <w:qFormat/>
    <w:uiPriority w:val="0"/>
    <w:pPr>
      <w:widowControl/>
      <w:spacing w:before="100" w:beforeAutospacing="1" w:after="100" w:afterAutospacing="1" w:line="240" w:lineRule="auto"/>
      <w:jc w:val="left"/>
    </w:pPr>
    <w:rPr>
      <w:rFonts w:ascii="华文细黑" w:hAnsi="华文细黑" w:eastAsia="华文细黑" w:cs="宋体"/>
      <w:kern w:val="0"/>
      <w:szCs w:val="21"/>
    </w:rPr>
  </w:style>
  <w:style w:type="paragraph" w:customStyle="1" w:styleId="189">
    <w:name w:val="xl11852"/>
    <w:basedOn w:val="1"/>
    <w:qFormat/>
    <w:uiPriority w:val="0"/>
    <w:pPr>
      <w:widowControl/>
      <w:spacing w:before="100" w:beforeAutospacing="1" w:after="100" w:afterAutospacing="1" w:line="240" w:lineRule="auto"/>
      <w:jc w:val="center"/>
    </w:pPr>
    <w:rPr>
      <w:rFonts w:ascii="华文细黑" w:hAnsi="华文细黑" w:eastAsia="华文细黑" w:cs="宋体"/>
      <w:color w:val="000000"/>
      <w:kern w:val="0"/>
      <w:sz w:val="24"/>
    </w:rPr>
  </w:style>
  <w:style w:type="paragraph" w:customStyle="1" w:styleId="190">
    <w:name w:val="xl118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191">
    <w:name w:val="xl11854"/>
    <w:basedOn w:val="1"/>
    <w:qFormat/>
    <w:uiPriority w:val="0"/>
    <w:pPr>
      <w:widowControl/>
      <w:shd w:val="clear" w:color="000000" w:fill="D8E4BC"/>
      <w:spacing w:before="100" w:beforeAutospacing="1" w:after="100" w:afterAutospacing="1" w:line="240" w:lineRule="auto"/>
      <w:jc w:val="center"/>
    </w:pPr>
    <w:rPr>
      <w:rFonts w:ascii="华文细黑" w:hAnsi="华文细黑" w:eastAsia="华文细黑" w:cs="宋体"/>
      <w:color w:val="000000"/>
      <w:kern w:val="0"/>
      <w:sz w:val="24"/>
    </w:rPr>
  </w:style>
  <w:style w:type="paragraph" w:customStyle="1" w:styleId="192">
    <w:name w:val="xl118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193">
    <w:name w:val="xl118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194">
    <w:name w:val="xl118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color w:val="000000"/>
      <w:kern w:val="0"/>
      <w:sz w:val="24"/>
    </w:rPr>
  </w:style>
  <w:style w:type="paragraph" w:customStyle="1" w:styleId="195">
    <w:name w:val="xl1186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196">
    <w:name w:val="xl118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color w:val="000000"/>
      <w:kern w:val="0"/>
      <w:szCs w:val="21"/>
    </w:rPr>
  </w:style>
  <w:style w:type="paragraph" w:customStyle="1" w:styleId="197">
    <w:name w:val="xl118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color w:val="000000"/>
      <w:kern w:val="0"/>
      <w:sz w:val="24"/>
    </w:rPr>
  </w:style>
  <w:style w:type="paragraph" w:customStyle="1" w:styleId="198">
    <w:name w:val="xl11865"/>
    <w:basedOn w:val="1"/>
    <w:qFormat/>
    <w:uiPriority w:val="0"/>
    <w:pPr>
      <w:widowControl/>
      <w:spacing w:before="100" w:beforeAutospacing="1" w:after="100" w:afterAutospacing="1" w:line="240" w:lineRule="auto"/>
      <w:jc w:val="left"/>
      <w:textAlignment w:val="bottom"/>
    </w:pPr>
    <w:rPr>
      <w:rFonts w:ascii="华文细黑" w:hAnsi="华文细黑" w:eastAsia="华文细黑" w:cs="宋体"/>
      <w:kern w:val="0"/>
      <w:szCs w:val="21"/>
    </w:rPr>
  </w:style>
  <w:style w:type="paragraph" w:customStyle="1" w:styleId="199">
    <w:name w:val="xl11866"/>
    <w:basedOn w:val="1"/>
    <w:qFormat/>
    <w:uiPriority w:val="0"/>
    <w:pPr>
      <w:widowControl/>
      <w:spacing w:before="100" w:beforeAutospacing="1" w:after="100" w:afterAutospacing="1" w:line="240" w:lineRule="auto"/>
      <w:jc w:val="center"/>
    </w:pPr>
    <w:rPr>
      <w:rFonts w:ascii="华文细黑" w:hAnsi="华文细黑" w:eastAsia="华文细黑" w:cs="宋体"/>
      <w:kern w:val="0"/>
      <w:szCs w:val="21"/>
    </w:rPr>
  </w:style>
  <w:style w:type="paragraph" w:customStyle="1" w:styleId="200">
    <w:name w:val="xl118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 w:val="20"/>
      <w:szCs w:val="20"/>
    </w:rPr>
  </w:style>
  <w:style w:type="paragraph" w:customStyle="1" w:styleId="201">
    <w:name w:val="xl118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202">
    <w:name w:val="xl118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203">
    <w:name w:val="xl118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b/>
      <w:bCs/>
      <w:kern w:val="0"/>
      <w:szCs w:val="21"/>
    </w:rPr>
  </w:style>
  <w:style w:type="paragraph" w:customStyle="1" w:styleId="204">
    <w:name w:val="xl118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205">
    <w:name w:val="xl118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206">
    <w:name w:val="xl118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b/>
      <w:bCs/>
      <w:kern w:val="0"/>
      <w:szCs w:val="21"/>
    </w:rPr>
  </w:style>
  <w:style w:type="paragraph" w:customStyle="1" w:styleId="207">
    <w:name w:val="xl118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b/>
      <w:bCs/>
      <w:kern w:val="0"/>
      <w:szCs w:val="21"/>
    </w:rPr>
  </w:style>
  <w:style w:type="paragraph" w:customStyle="1" w:styleId="208">
    <w:name w:val="xl118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209">
    <w:name w:val="xl118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210">
    <w:name w:val="xl118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211">
    <w:name w:val="xl118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top"/>
    </w:pPr>
    <w:rPr>
      <w:rFonts w:ascii="华文细黑" w:hAnsi="华文细黑" w:eastAsia="华文细黑" w:cs="宋体"/>
      <w:kern w:val="0"/>
      <w:szCs w:val="21"/>
    </w:rPr>
  </w:style>
  <w:style w:type="paragraph" w:customStyle="1" w:styleId="212">
    <w:name w:val="xl118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213">
    <w:name w:val="xl118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214">
    <w:name w:val="xl118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215">
    <w:name w:val="xl118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bottom"/>
    </w:pPr>
    <w:rPr>
      <w:rFonts w:ascii="华文细黑" w:hAnsi="华文细黑" w:eastAsia="华文细黑" w:cs="宋体"/>
      <w:kern w:val="0"/>
      <w:szCs w:val="21"/>
    </w:rPr>
  </w:style>
  <w:style w:type="paragraph" w:customStyle="1" w:styleId="216">
    <w:name w:val="xl118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b/>
      <w:bCs/>
      <w:kern w:val="0"/>
      <w:szCs w:val="21"/>
    </w:rPr>
  </w:style>
  <w:style w:type="paragraph" w:customStyle="1" w:styleId="217">
    <w:name w:val="xl118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color w:val="000000"/>
      <w:kern w:val="0"/>
      <w:szCs w:val="21"/>
    </w:rPr>
  </w:style>
  <w:style w:type="paragraph" w:customStyle="1" w:styleId="218">
    <w:name w:val="xl118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b/>
      <w:bCs/>
      <w:kern w:val="0"/>
      <w:szCs w:val="21"/>
    </w:rPr>
  </w:style>
  <w:style w:type="paragraph" w:customStyle="1" w:styleId="219">
    <w:name w:val="xl118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b/>
      <w:bCs/>
      <w:kern w:val="0"/>
      <w:szCs w:val="21"/>
    </w:rPr>
  </w:style>
  <w:style w:type="paragraph" w:customStyle="1" w:styleId="220">
    <w:name w:val="xl118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221">
    <w:name w:val="xl11891"/>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222">
    <w:name w:val="xl11892"/>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223">
    <w:name w:val="xl1189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224">
    <w:name w:val="xl118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225">
    <w:name w:val="xl1184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华文细黑" w:hAnsi="华文细黑" w:eastAsia="华文细黑" w:cs="宋体"/>
      <w:kern w:val="0"/>
      <w:szCs w:val="21"/>
    </w:rPr>
  </w:style>
  <w:style w:type="paragraph" w:customStyle="1" w:styleId="226">
    <w:name w:val="xl118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227">
    <w:name w:val="段落文字"/>
    <w:basedOn w:val="1"/>
    <w:qFormat/>
    <w:uiPriority w:val="0"/>
    <w:pPr>
      <w:widowControl/>
      <w:spacing w:after="160" w:line="259" w:lineRule="auto"/>
      <w:ind w:firstLine="643" w:firstLineChars="200"/>
      <w:jc w:val="left"/>
    </w:pPr>
    <w:rPr>
      <w:rFonts w:ascii="Calibri" w:hAnsi="Calibri" w:cs="Calibri"/>
      <w:kern w:val="0"/>
      <w:sz w:val="24"/>
      <w:szCs w:val="22"/>
    </w:rPr>
  </w:style>
  <w:style w:type="table" w:customStyle="1" w:styleId="228">
    <w:name w:val="网格表 6 彩色1"/>
    <w:basedOn w:val="41"/>
    <w:qFormat/>
    <w:uiPriority w:val="51"/>
    <w:rPr>
      <w:rFonts w:ascii="Calibri" w:hAnsi="Calibri"/>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
    <w:tblStylePr w:type="firstRow">
      <w:rPr>
        <w:b/>
        <w:bCs/>
      </w:rPr>
      <w:tcPr>
        <w:tcBorders>
          <w:top w:val="nil"/>
          <w:left w:val="nil"/>
          <w:bottom w:val="single" w:color="666666" w:sz="12" w:space="0"/>
          <w:right w:val="nil"/>
          <w:insideH w:val="nil"/>
          <w:insideV w:val="nil"/>
          <w:tl2br w:val="nil"/>
          <w:tr2bl w:val="nil"/>
        </w:tcBorders>
      </w:tcPr>
    </w:tblStylePr>
    <w:tblStylePr w:type="lastRow">
      <w:rPr>
        <w:b/>
        <w:bCs/>
      </w:rPr>
      <w:tcPr>
        <w:tcBorders>
          <w:top w:val="double" w:color="666666"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229">
    <w:name w:val="表格边框"/>
    <w:basedOn w:val="41"/>
    <w:qFormat/>
    <w:uiPriority w:val="0"/>
    <w:tblPr>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
    <w:trPr>
      <w:cantSplit/>
      <w:jc w:val="center"/>
    </w:trPr>
    <w:tcPr>
      <w:vAlign w:val="center"/>
    </w:tcPr>
  </w:style>
  <w:style w:type="character" w:customStyle="1" w:styleId="230">
    <w:name w:val="正文文本缩进 Char"/>
    <w:link w:val="20"/>
    <w:qFormat/>
    <w:uiPriority w:val="0"/>
    <w:rPr>
      <w:rFonts w:ascii="宋体" w:hAnsi="宋体"/>
      <w:kern w:val="2"/>
      <w:sz w:val="21"/>
      <w:szCs w:val="24"/>
    </w:rPr>
  </w:style>
  <w:style w:type="paragraph" w:customStyle="1" w:styleId="231">
    <w:name w:val="纯文本1"/>
    <w:basedOn w:val="1"/>
    <w:qFormat/>
    <w:uiPriority w:val="0"/>
    <w:pPr>
      <w:spacing w:line="240" w:lineRule="auto"/>
    </w:pPr>
    <w:rPr>
      <w:rFonts w:ascii="宋体" w:hAnsi="Courier New"/>
      <w:szCs w:val="22"/>
    </w:rPr>
  </w:style>
  <w:style w:type="paragraph" w:customStyle="1" w:styleId="232">
    <w:name w:val="title11"/>
    <w:basedOn w:val="1"/>
    <w:qFormat/>
    <w:uiPriority w:val="0"/>
    <w:pPr>
      <w:spacing w:before="150" w:line="450" w:lineRule="atLeast"/>
      <w:jc w:val="left"/>
    </w:pPr>
    <w:rPr>
      <w:b/>
      <w:kern w:val="0"/>
      <w:sz w:val="24"/>
    </w:rPr>
  </w:style>
  <w:style w:type="character" w:customStyle="1" w:styleId="233">
    <w:name w:val="tmpztreemove_arrow"/>
    <w:basedOn w:val="43"/>
    <w:qFormat/>
    <w:uiPriority w:val="0"/>
    <w:rPr>
      <w:shd w:val="clear" w:color="auto" w:fill="FFFFFF"/>
    </w:rPr>
  </w:style>
  <w:style w:type="character" w:customStyle="1" w:styleId="234">
    <w:name w:val="hour_pm"/>
    <w:basedOn w:val="43"/>
    <w:qFormat/>
    <w:uiPriority w:val="0"/>
  </w:style>
  <w:style w:type="character" w:customStyle="1" w:styleId="235">
    <w:name w:val="hover3"/>
    <w:basedOn w:val="43"/>
    <w:qFormat/>
    <w:uiPriority w:val="0"/>
    <w:rPr>
      <w:shd w:val="clear" w:color="auto" w:fill="EEEEEE"/>
    </w:rPr>
  </w:style>
  <w:style w:type="character" w:customStyle="1" w:styleId="236">
    <w:name w:val="old"/>
    <w:basedOn w:val="43"/>
    <w:qFormat/>
    <w:uiPriority w:val="0"/>
    <w:rPr>
      <w:color w:val="999999"/>
    </w:rPr>
  </w:style>
  <w:style w:type="character" w:customStyle="1" w:styleId="237">
    <w:name w:val="glyphicon4"/>
    <w:basedOn w:val="43"/>
    <w:qFormat/>
    <w:uiPriority w:val="0"/>
  </w:style>
  <w:style w:type="character" w:customStyle="1" w:styleId="238">
    <w:name w:val="hour_am"/>
    <w:basedOn w:val="43"/>
    <w:qFormat/>
    <w:uiPriority w:val="0"/>
  </w:style>
  <w:style w:type="character" w:customStyle="1" w:styleId="239">
    <w:name w:val="indent"/>
    <w:basedOn w:val="43"/>
    <w:qFormat/>
    <w:uiPriority w:val="0"/>
  </w:style>
  <w:style w:type="character" w:customStyle="1" w:styleId="240">
    <w:name w:val="button"/>
    <w:basedOn w:val="43"/>
    <w:qFormat/>
    <w:uiPriority w:val="0"/>
  </w:style>
  <w:style w:type="paragraph" w:customStyle="1" w:styleId="241">
    <w:name w:val="表格文字中"/>
    <w:basedOn w:val="1"/>
    <w:qFormat/>
    <w:uiPriority w:val="0"/>
    <w:pPr>
      <w:adjustRightInd w:val="0"/>
      <w:snapToGrid w:val="0"/>
      <w:spacing w:line="240" w:lineRule="auto"/>
      <w:ind w:left="22" w:leftChars="8"/>
      <w:jc w:val="center"/>
    </w:pPr>
    <w:rPr>
      <w:kern w:val="0"/>
      <w:sz w:val="24"/>
    </w:rPr>
  </w:style>
  <w:style w:type="character" w:customStyle="1" w:styleId="242">
    <w:name w:val="HTML 预设格式 Char"/>
    <w:basedOn w:val="43"/>
    <w:link w:val="36"/>
    <w:qFormat/>
    <w:uiPriority w:val="0"/>
    <w:rPr>
      <w:rFonts w:ascii="宋体" w:hAnsi="宋体"/>
      <w:sz w:val="24"/>
      <w:szCs w:val="24"/>
    </w:rPr>
  </w:style>
  <w:style w:type="table" w:customStyle="1" w:styleId="243">
    <w:name w:val="Table Normal"/>
    <w:semiHidden/>
    <w:unhideWhenUsed/>
    <w:qFormat/>
    <w:uiPriority w:val="0"/>
    <w:tblPr>
      <w:tblCellMar>
        <w:top w:w="0" w:type="dxa"/>
        <w:left w:w="0" w:type="dxa"/>
        <w:bottom w:w="0" w:type="dxa"/>
        <w:right w:w="0" w:type="dxa"/>
      </w:tblCellMar>
    </w:tblPr>
  </w:style>
  <w:style w:type="paragraph" w:customStyle="1" w:styleId="244">
    <w:name w:val="Table Text"/>
    <w:basedOn w:val="1"/>
    <w:semiHidden/>
    <w:qFormat/>
    <w:uiPriority w:val="0"/>
    <w:rPr>
      <w:rFonts w:ascii="宋体" w:hAnsi="宋体" w:cs="宋体"/>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yngp</Company>
  <Pages>6</Pages>
  <Words>2366</Words>
  <Characters>2464</Characters>
  <Lines>21</Lines>
  <Paragraphs>6</Paragraphs>
  <TotalTime>67</TotalTime>
  <ScaleCrop>false</ScaleCrop>
  <LinksUpToDate>false</LinksUpToDate>
  <CharactersWithSpaces>2882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2024-09-04T01:10:00Z</dcterms:created>
  <dc:creator>wh</dc:creator>
  <cp:lastModifiedBy>赛诚财务  李铃博</cp:lastModifiedBy>
  <cp:lastPrinted>2015-12-31T05:55:00Z</cp:lastPrinted>
  <dcterms:modified xsi:type="dcterms:W3CDTF">2025-05-21T08:13:38Z</dcterms:modified>
  <dc:title>封  面</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AC40A5F1E1F642F39CA3B4528CA84257</vt:lpwstr>
  </property>
  <property fmtid="{D5CDD505-2E9C-101B-9397-08002B2CF9AE}" pid="4" name="KSOTemplateDocerSaveRecord">
    <vt:lpwstr>eyJoZGlkIjoiYTEyNTUzMGE3MDRiZmJjMTQ3ZTUzN2M0NzEzYWIyN2QiLCJ1c2VySWQiOiI5ODk3ODQwMDkifQ==</vt:lpwstr>
  </property>
</Properties>
</file>