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版本号：ZX2025-05-2520250526002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文物安全巡查检查项目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ZX2025-05-25</w:t>
      </w:r>
      <w:r>
        <w:br/>
      </w:r>
      <w:r>
        <w:br/>
      </w:r>
      <w:r>
        <w:br/>
      </w:r>
    </w:p>
    <w:p>
      <w:pPr>
        <w:pStyle w:val="null3"/>
        <w:jc w:val="center"/>
        <w:outlineLvl w:val="2"/>
      </w:pPr>
      <w:r>
        <w:rPr>
          <w:rFonts w:ascii="仿宋_GB2312" w:hAnsi="仿宋_GB2312" w:cs="仿宋_GB2312" w:eastAsia="仿宋_GB2312"/>
          <w:sz w:val="28"/>
          <w:b/>
        </w:rPr>
        <w:t>西安市文物局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文物安全巡查检查项目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文物安全巡查检查项目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文物局每年应当巡查检查239个文物保护单位，其中全国重点文物保护单66个、省级文物保护单位112个、市级文物保护单位61个，另外对县级文物保护单位进行抽查，对20个县区、开发区文物部门巡查工作进行督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采购包1（文物安全巡查检查项目）：属于专门面向中小企业采购。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6月1日以来至少一个月的依法缴纳税收的相关凭据（时间以税款所属日期为准、税种须包含增值税或企业所得税），凭据应有税务机关或代收机关的公章或业务专用章；其他组织和自然人提供2024年6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6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崔文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代理服务费收费标准：1、参照国家计委计价格[2002]1980号及发改办价格[2003]857号通知规定，由成交供应商支付代理服务费。 2、支付方式：成交供应商应在领取通知书的同时，支付本项目代理服务费。收款账户如下： 收款单位：陕西正信招标有限公司；开户银行：中国银行股份有限公司西安四府街支行；银行账号：102460065607 。3、转账时请备注代理服务费。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蔡丹</w:t>
      </w:r>
    </w:p>
    <w:p>
      <w:pPr>
        <w:pStyle w:val="null3"/>
      </w:pPr>
      <w:r>
        <w:rPr>
          <w:rFonts w:ascii="仿宋_GB2312" w:hAnsi="仿宋_GB2312" w:cs="仿宋_GB2312" w:eastAsia="仿宋_GB2312"/>
        </w:rPr>
        <w:t>联系电话：029-88110800转8020（282909429@qq.com）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文物局每年应当巡查检查239个文物保护单位，其中全国重点文物保护单66个、省级文物保护单位112个、市级文物保护单位61个，另外对县级文物保护单位进行抽查，对20个县区、开发区文物部门巡查工作进行督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文物安全巡查检查项目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标的名称：文物安全巡查检查项目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文物是中华文明、中国革命的精神标识和文化标识，是国家象征、民族记忆的情感依托和物质载体。保护文物就是保护国家与民族的历史，守护中华民族的根与魂。文物安全是文物保护的红线、底线和生命线。文物巡查是文物安全监管工作的重要内容，是及时发现安全隐患和管理漏洞的有效手段。国家文物局、省文物局高度重视文物巡查工作，先后出台《文物保护单位执法巡查办法》《陕西省不可移动文物巡查管理办法（试行）》等，进一步规范和强化文物巡查工作。</w:t>
            </w:r>
          </w:p>
          <w:p>
            <w:pPr>
              <w:pStyle w:val="null3"/>
            </w:pPr>
            <w:r>
              <w:rPr>
                <w:rFonts w:ascii="仿宋_GB2312" w:hAnsi="仿宋_GB2312" w:cs="仿宋_GB2312" w:eastAsia="仿宋_GB2312"/>
              </w:rPr>
              <w:t>1、服务范围：西安市文物局每年应当巡查检查239个文物保护单位，其中全国重点文物保护单66个、省级文物保护单位112个、市级文物保护单位61个，另外对县级文物保护单位进行抽查，对20个县区、开发区文物部门巡查工作进行督察。</w:t>
            </w:r>
          </w:p>
          <w:p>
            <w:pPr>
              <w:pStyle w:val="null3"/>
            </w:pPr>
            <w:r>
              <w:rPr>
                <w:rFonts w:ascii="仿宋_GB2312" w:hAnsi="仿宋_GB2312" w:cs="仿宋_GB2312" w:eastAsia="仿宋_GB2312"/>
              </w:rPr>
              <w:t>2、服务依据：按照国家文物局文物督发〔2011〕21号《文物保护单位执法巡查办法》第六条 “各设区市的文物行政部门、文物执法机构重点负责对本行政区域内市级以上(含市级)文物保护单位进行巡查，每年对每个市级以上(含市级)文物保护单位至少巡查一次；对本行政区域内县级文物保护单位进行抽查”之规定和陕西省文物局物发[2022]36号文《陕西省不可移动文物巡察管理办法》第十三条第二款“市级文物行政主管部门重点负责对本行政区域内市级以上（含市级）文物保护单位进行巡查，每年对每个市级以上（含市级）文物保护单位至少巡查一次，对本行政区域内县级文物保护单位进行抽查”之规定，西安市文物局每年对239处市级以上（含市级）文物保护单位至少巡查一次，对215处区县保级文物保护单位进行抽查。</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1、结合文物保护的特点，科学制定年度文物巡查计划并分解到月。对全市239个市级以上（含市级）文物保护单位进行巡查，抽查县级文物保护单位、一般不可移动文物和检查督察区县、开发区文物部门巡查工作。</w:t>
            </w:r>
          </w:p>
          <w:p>
            <w:pPr>
              <w:pStyle w:val="null3"/>
            </w:pPr>
            <w:r>
              <w:rPr>
                <w:rFonts w:ascii="仿宋_GB2312" w:hAnsi="仿宋_GB2312" w:cs="仿宋_GB2312" w:eastAsia="仿宋_GB2312"/>
              </w:rPr>
              <w:t>2、参加巡查业务学习培训活动。采取自学和参加专题培训的方式，了解文物行政执法和安全工作内容，掌握巡查要求和标准，推动巡查工作规范化。</w:t>
            </w:r>
          </w:p>
          <w:p>
            <w:pPr>
              <w:pStyle w:val="null3"/>
            </w:pPr>
            <w:r>
              <w:rPr>
                <w:rFonts w:ascii="仿宋_GB2312" w:hAnsi="仿宋_GB2312" w:cs="仿宋_GB2312" w:eastAsia="仿宋_GB2312"/>
              </w:rPr>
              <w:t>3、规范组织实施巡查工作。一组配备3名及以上具有专业技术职称的巡查人员和在1辆巡查车保障的情况下进行文物安全巡查工作，对于面积大、幅员广、情况复杂的大遗址、古墓葬要明确重点巡查区域。</w:t>
            </w:r>
          </w:p>
          <w:p>
            <w:pPr>
              <w:pStyle w:val="null3"/>
            </w:pPr>
            <w:r>
              <w:rPr>
                <w:rFonts w:ascii="仿宋_GB2312" w:hAnsi="仿宋_GB2312" w:cs="仿宋_GB2312" w:eastAsia="仿宋_GB2312"/>
              </w:rPr>
              <w:t>4、在夏季汛期、高温防火期、冬季用电高峰期、冬春田野文物被盗高峰期、节假日文物开放单位旅游高峰期等特殊时节，要邀请相关专家组织各种专项安全检查并包含整理资料、建立台账等相关工作。</w:t>
            </w:r>
          </w:p>
          <w:p>
            <w:pPr>
              <w:pStyle w:val="null3"/>
            </w:pPr>
            <w:r>
              <w:rPr>
                <w:rFonts w:ascii="仿宋_GB2312" w:hAnsi="仿宋_GB2312" w:cs="仿宋_GB2312" w:eastAsia="仿宋_GB2312"/>
              </w:rPr>
              <w:t>5、加强巡查信息报送。每月25日之前，总结汇报巡查情况，同时上报检查记录复本。巡查时发现严重违法违规行为或者重大隐患，应当及时汇报。</w:t>
            </w:r>
          </w:p>
          <w:p>
            <w:pPr>
              <w:pStyle w:val="null3"/>
            </w:pPr>
            <w:r>
              <w:rPr>
                <w:rFonts w:ascii="仿宋_GB2312" w:hAnsi="仿宋_GB2312" w:cs="仿宋_GB2312" w:eastAsia="仿宋_GB2312"/>
              </w:rPr>
              <w:t>6、督促整改问题和隐患。发现问题和隐患后，巡查人员以书面形式向被检查单位反馈意见，提出整改要求。发现严重违法违规行为或者重大隐患，及时上报督察与安全处。</w:t>
            </w:r>
          </w:p>
          <w:p>
            <w:pPr>
              <w:pStyle w:val="null3"/>
            </w:pPr>
            <w:r>
              <w:rPr>
                <w:rFonts w:ascii="仿宋_GB2312" w:hAnsi="仿宋_GB2312" w:cs="仿宋_GB2312" w:eastAsia="仿宋_GB2312"/>
              </w:rPr>
              <w:t>7、整理运用巡查成果。协助督察与安全处建立文物安全状况信息库，根据巡查记录和其他资料，及时整理更新，实施动态监管，并为研判和决策文物安全工作提供信息支撑。</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1、为强化文物安全监管，专业化、系统化、规范化的组织实施文物保护单位巡查工作，对检查时发现的问题隐患，及时排除，有效处置，确保文物安全。</w:t>
            </w:r>
          </w:p>
          <w:p>
            <w:pPr>
              <w:pStyle w:val="null3"/>
            </w:pPr>
            <w:r>
              <w:rPr>
                <w:rFonts w:ascii="仿宋_GB2312" w:hAnsi="仿宋_GB2312" w:cs="仿宋_GB2312" w:eastAsia="仿宋_GB2312"/>
              </w:rPr>
              <w:t>2、巡查主要分为执法巡查和安全检查，区别为：</w:t>
            </w:r>
          </w:p>
          <w:p>
            <w:pPr>
              <w:pStyle w:val="null3"/>
            </w:pPr>
            <w:r>
              <w:rPr>
                <w:rFonts w:ascii="仿宋_GB2312" w:hAnsi="仿宋_GB2312" w:cs="仿宋_GB2312" w:eastAsia="仿宋_GB2312"/>
              </w:rPr>
              <w:t>（</w:t>
            </w:r>
            <w:r>
              <w:rPr>
                <w:rFonts w:ascii="仿宋_GB2312" w:hAnsi="仿宋_GB2312" w:cs="仿宋_GB2312" w:eastAsia="仿宋_GB2312"/>
              </w:rPr>
              <w:t>1）巡查内容：国家文物局于2011年印发的《文物保护单位执法巡查办法》第十一条，明确执法巡查内容有十项，主要涉及文物保护单位区域内的违法建设，迁移、拆除、擅自修缮文物保护单位，擅自改变文物保护单位用途，转让、抵押国有文物保护单位等行政执法类内容。</w:t>
            </w:r>
          </w:p>
          <w:p>
            <w:pPr>
              <w:pStyle w:val="null3"/>
            </w:pPr>
            <w:r>
              <w:rPr>
                <w:rFonts w:ascii="仿宋_GB2312" w:hAnsi="仿宋_GB2312" w:cs="仿宋_GB2312" w:eastAsia="仿宋_GB2312"/>
              </w:rPr>
              <w:t>（</w:t>
            </w:r>
            <w:r>
              <w:rPr>
                <w:rFonts w:ascii="仿宋_GB2312" w:hAnsi="仿宋_GB2312" w:cs="仿宋_GB2312" w:eastAsia="仿宋_GB2312"/>
              </w:rPr>
              <w:t>2）安全检查内容：依据《陕西省不可移动文物巡查管理办法（试行）》第十条和工作实际，主要涉及文物安全（指防盗、防火、防汛、防突发事件等）责任制、安全职责、管理制度、安全教育培训、应急预案与演练，日常安全检查、隐患排查整改等行政管理类内容。</w:t>
            </w:r>
          </w:p>
          <w:p>
            <w:pPr>
              <w:pStyle w:val="null3"/>
            </w:pPr>
            <w:r>
              <w:rPr>
                <w:rFonts w:ascii="仿宋_GB2312" w:hAnsi="仿宋_GB2312" w:cs="仿宋_GB2312" w:eastAsia="仿宋_GB2312"/>
              </w:rPr>
              <w:t>3、人员要求：</w:t>
            </w:r>
          </w:p>
          <w:p>
            <w:pPr>
              <w:pStyle w:val="null3"/>
            </w:pPr>
            <w:r>
              <w:rPr>
                <w:rFonts w:ascii="仿宋_GB2312" w:hAnsi="仿宋_GB2312" w:cs="仿宋_GB2312" w:eastAsia="仿宋_GB2312"/>
              </w:rPr>
              <w:t>1）巡检内容包括安防、消防、法律法规、管理等方面的内容，需要配备4个专业技术人员。</w:t>
            </w:r>
          </w:p>
          <w:p>
            <w:pPr>
              <w:pStyle w:val="null3"/>
            </w:pPr>
            <w:r>
              <w:rPr>
                <w:rFonts w:ascii="仿宋_GB2312" w:hAnsi="仿宋_GB2312" w:cs="仿宋_GB2312" w:eastAsia="仿宋_GB2312"/>
              </w:rPr>
              <w:t>2）因为巡检人员为专业技术人员，应具有安防、消防、法律法规及管理等相关专业的5年以上工作经验并拥有中级及以上职称。外聘专业技术人员，</w:t>
            </w:r>
            <w:r>
              <w:rPr>
                <w:rFonts w:ascii="仿宋_GB2312" w:hAnsi="仿宋_GB2312" w:cs="仿宋_GB2312" w:eastAsia="仿宋_GB2312"/>
              </w:rPr>
              <w:t>须具有</w:t>
            </w:r>
            <w:r>
              <w:rPr>
                <w:rFonts w:ascii="仿宋_GB2312" w:hAnsi="仿宋_GB2312" w:cs="仿宋_GB2312" w:eastAsia="仿宋_GB2312"/>
              </w:rPr>
              <w:t>合作协议；供应商的专业技术人员，</w:t>
            </w:r>
            <w:r>
              <w:rPr>
                <w:rFonts w:ascii="仿宋_GB2312" w:hAnsi="仿宋_GB2312" w:cs="仿宋_GB2312" w:eastAsia="仿宋_GB2312"/>
              </w:rPr>
              <w:t>须具有</w:t>
            </w:r>
            <w:r>
              <w:rPr>
                <w:rFonts w:ascii="仿宋_GB2312" w:hAnsi="仿宋_GB2312" w:cs="仿宋_GB2312" w:eastAsia="仿宋_GB2312"/>
              </w:rPr>
              <w:t>劳动合同。</w:t>
            </w:r>
          </w:p>
          <w:p>
            <w:pPr>
              <w:pStyle w:val="null3"/>
            </w:pPr>
            <w:r>
              <w:rPr>
                <w:rFonts w:ascii="仿宋_GB2312" w:hAnsi="仿宋_GB2312" w:cs="仿宋_GB2312" w:eastAsia="仿宋_GB2312"/>
              </w:rPr>
              <w:t>3）专项检查中需要安防、消防方面的专家、一般为省文物局专家库的专家或者消防支队的消防专家。</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1、服务期：一年，以双方签订合同时约定的起止时间为准。</w:t>
            </w:r>
          </w:p>
          <w:p>
            <w:pPr>
              <w:pStyle w:val="null3"/>
            </w:pPr>
            <w:r>
              <w:rPr>
                <w:rFonts w:ascii="仿宋_GB2312" w:hAnsi="仿宋_GB2312" w:cs="仿宋_GB2312" w:eastAsia="仿宋_GB2312"/>
              </w:rPr>
              <w:t>2、本项目服务人员工资不得低于西安市最低工资标准。</w:t>
            </w:r>
          </w:p>
          <w:p>
            <w:pPr>
              <w:pStyle w:val="null3"/>
            </w:pPr>
            <w:r>
              <w:rPr>
                <w:rFonts w:ascii="仿宋_GB2312" w:hAnsi="仿宋_GB2312" w:cs="仿宋_GB2312" w:eastAsia="仿宋_GB2312"/>
              </w:rPr>
              <w:t>3、质量管理和监督措施：</w:t>
            </w:r>
          </w:p>
          <w:p>
            <w:pPr>
              <w:pStyle w:val="null3"/>
            </w:pPr>
            <w:r>
              <w:rPr>
                <w:rFonts w:ascii="仿宋_GB2312" w:hAnsi="仿宋_GB2312" w:cs="仿宋_GB2312" w:eastAsia="仿宋_GB2312"/>
              </w:rPr>
              <w:t>成交供应商须接受采购人的各类检查考核，采购人有权根据有关规定对质量考核标准及奖惩办法作相应的修改。</w:t>
            </w:r>
          </w:p>
          <w:p>
            <w:pPr>
              <w:pStyle w:val="null3"/>
              <w:numPr>
                <w:ilvl w:val="0"/>
                <w:numId w:val="1"/>
              </w:numPr>
            </w:pPr>
            <w:r>
              <w:rPr>
                <w:rFonts w:ascii="仿宋_GB2312" w:hAnsi="仿宋_GB2312" w:cs="仿宋_GB2312" w:eastAsia="仿宋_GB2312"/>
              </w:rPr>
              <w:t>合同期内，成交供应商须严格按照合同要求，在规定的时间及工作范围进行巡检服务，每轮巡检须有巡检资料，采购人（或委托第三方）按记录情况综合考核。如成交供应商提供虚假巡检资料，或未按服务内容实施等，一经发现，采购人有权终止合同，造成重大损失和影响的，经济损失和法律责任由成交供应商承担。</w:t>
            </w:r>
          </w:p>
          <w:p>
            <w:pPr>
              <w:pStyle w:val="null3"/>
              <w:jc w:val="both"/>
            </w:pPr>
            <w:r>
              <w:rPr>
                <w:rFonts w:ascii="仿宋_GB2312" w:hAnsi="仿宋_GB2312" w:cs="仿宋_GB2312" w:eastAsia="仿宋_GB2312"/>
              </w:rPr>
              <w:t>五、付款方式：</w:t>
            </w:r>
          </w:p>
          <w:p>
            <w:pPr>
              <w:pStyle w:val="null3"/>
              <w:jc w:val="both"/>
            </w:pPr>
            <w:r>
              <w:rPr>
                <w:rFonts w:ascii="仿宋_GB2312" w:hAnsi="仿宋_GB2312" w:cs="仿宋_GB2312" w:eastAsia="仿宋_GB2312"/>
              </w:rPr>
              <w:t>1、付款单位：采购人结算，在付款前，按付款金额开具发票给采购人。</w:t>
            </w:r>
          </w:p>
          <w:p>
            <w:pPr>
              <w:pStyle w:val="null3"/>
              <w:jc w:val="both"/>
            </w:pPr>
            <w:r>
              <w:rPr>
                <w:rFonts w:ascii="仿宋_GB2312" w:hAnsi="仿宋_GB2312" w:cs="仿宋_GB2312" w:eastAsia="仿宋_GB2312"/>
              </w:rPr>
              <w:t>2、付款方式：</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合同签订后</w:t>
            </w:r>
            <w:r>
              <w:rPr>
                <w:rFonts w:ascii="仿宋_GB2312" w:hAnsi="仿宋_GB2312" w:cs="仿宋_GB2312" w:eastAsia="仿宋_GB2312"/>
              </w:rPr>
              <w:t>30日内，支付</w:t>
            </w:r>
            <w:r>
              <w:rPr>
                <w:rFonts w:ascii="仿宋_GB2312" w:hAnsi="仿宋_GB2312" w:cs="仿宋_GB2312" w:eastAsia="仿宋_GB2312"/>
              </w:rPr>
              <w:t>合同总价的</w:t>
            </w:r>
            <w:r>
              <w:rPr>
                <w:rFonts w:ascii="仿宋_GB2312" w:hAnsi="仿宋_GB2312" w:cs="仿宋_GB2312" w:eastAsia="仿宋_GB2312"/>
              </w:rPr>
              <w:t>40%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本年底</w:t>
            </w:r>
            <w:r>
              <w:rPr>
                <w:rFonts w:ascii="仿宋_GB2312" w:hAnsi="仿宋_GB2312" w:cs="仿宋_GB2312" w:eastAsia="仿宋_GB2312"/>
              </w:rPr>
              <w:t>12月2</w:t>
            </w:r>
            <w:r>
              <w:rPr>
                <w:rFonts w:ascii="仿宋_GB2312" w:hAnsi="仿宋_GB2312" w:cs="仿宋_GB2312" w:eastAsia="仿宋_GB2312"/>
              </w:rPr>
              <w:t>0</w:t>
            </w:r>
            <w:r>
              <w:rPr>
                <w:rFonts w:ascii="仿宋_GB2312" w:hAnsi="仿宋_GB2312" w:cs="仿宋_GB2312" w:eastAsia="仿宋_GB2312"/>
              </w:rPr>
              <w:t>日前</w:t>
            </w:r>
            <w:r>
              <w:rPr>
                <w:rFonts w:ascii="仿宋_GB2312" w:hAnsi="仿宋_GB2312" w:cs="仿宋_GB2312" w:eastAsia="仿宋_GB2312"/>
              </w:rPr>
              <w:t>，成交供应商服务质量考核合格，支付合同总价的</w:t>
            </w:r>
            <w:r>
              <w:rPr>
                <w:rFonts w:ascii="仿宋_GB2312" w:hAnsi="仿宋_GB2312" w:cs="仿宋_GB2312" w:eastAsia="仿宋_GB2312"/>
              </w:rPr>
              <w:t>60%。</w:t>
            </w:r>
          </w:p>
          <w:p>
            <w:pPr>
              <w:pStyle w:val="null3"/>
              <w:jc w:val="both"/>
            </w:pPr>
            <w:r>
              <w:rPr>
                <w:rFonts w:ascii="仿宋_GB2312" w:hAnsi="仿宋_GB2312" w:cs="仿宋_GB2312" w:eastAsia="仿宋_GB2312"/>
              </w:rPr>
              <w:t>六、质量保证：成交供应商应当保证服务内容质量完全符合采购文件的要求，并对服务内容质量问题负责。</w:t>
            </w:r>
          </w:p>
          <w:p>
            <w:pPr>
              <w:pStyle w:val="null3"/>
              <w:jc w:val="both"/>
            </w:pPr>
            <w:r>
              <w:rPr>
                <w:rFonts w:ascii="仿宋_GB2312" w:hAnsi="仿宋_GB2312" w:cs="仿宋_GB2312" w:eastAsia="仿宋_GB2312"/>
              </w:rPr>
              <w:t>七、采购项目执行内容需要调整时，经采购人同意后，可以对相应的内容进行调整，并协商确定价格差额计算方法和负担办法。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rPr>
              <w:t>八、验收：达到使用条件时由采购人负责组织验收，验收合格后须交接项目实施的全部资料，并填写政府采购项目验收报告单。验收须以合同、采购文件及响应文件、澄清及国家相应的标准、规范等为依据。验收需在供应商提交验收申请后</w:t>
            </w:r>
            <w:r>
              <w:rPr>
                <w:rFonts w:ascii="仿宋_GB2312" w:hAnsi="仿宋_GB2312" w:cs="仿宋_GB2312" w:eastAsia="仿宋_GB2312"/>
              </w:rPr>
              <w:t>15个工作日内完成。</w:t>
            </w:r>
          </w:p>
          <w:p>
            <w:pPr>
              <w:pStyle w:val="null3"/>
              <w:jc w:val="both"/>
            </w:pPr>
            <w:r>
              <w:rPr>
                <w:rFonts w:ascii="仿宋_GB2312" w:hAnsi="仿宋_GB2312" w:cs="仿宋_GB2312" w:eastAsia="仿宋_GB2312"/>
                <w:sz w:val="21"/>
              </w:rPr>
              <w:t>九、合同争议的解决：合同执行中发生争议的，当事人双方应协商解决，协商达不成一致时，可向采购人所在地人民法院提请诉讼。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一年，以双方签订合同时约定的起止时间为准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西安市文物局项目地点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磋商文件及响应文件、澄清及国家相应的标准、规范等为依据。验收需在供应商提交验收申请后15个工作日内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本年底12月20日前，成交供应商服务质量考核合格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 2、供应商须在磋商截止时间前向代理机构递交密封完好的电子化交易系统生成的纸质版响应文件肆份，其中正本壹份、副本叁份、电子版文件壹份（用U 盘拷贝，标明供应商名称，随正本密封）。 3、纸质响应文件采用双面打印并胶装成册，须与电子响应文件一致；若电子响应文件与纸质响应文件不一致的，以电子响应文件为准。 4、纸质文件递交地点：西安市莲湖区环城西路南段元晟合中心6层。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供应商应在项目电子化交易系统中按要求填写《响应函》及提供《供应商企业关系关联承诺书》并进行电子签章。若与其他供应商存在单位负责人为同一人或者存在直接控股、管理关系的，则响应无效。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至少一个月的依法缴纳税收的相关凭据（时间以税款所属日期为准、税种须包含增值税或企业所得税），凭据应有税务机关或代收机关的公章或业务专用章；其他组织和自然人提供2024年6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磋商授权委托</w:t>
            </w:r>
          </w:p>
        </w:tc>
        <w:tc>
          <w:tcPr>
            <w:tcW w:type="dxa" w:w="3322"/>
          </w:tcPr>
          <w:p>
            <w:pPr>
              <w:pStyle w:val="null3"/>
            </w:pPr>
            <w:r>
              <w:rPr>
                <w:rFonts w:ascii="仿宋_GB2312" w:hAnsi="仿宋_GB2312" w:cs="仿宋_GB2312" w:eastAsia="仿宋_GB2312"/>
              </w:rPr>
              <w:t>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评审过程中，磋商小组认为供应商报价明显低于其他实质性响应的供应商报价，有可能影响项目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磋商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 标的清单 报价表 供应商服务类项目业绩证明材料 供应商承诺书 响应函 服务要求应答表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响应文件按磋商文件要求的语言、计量单位、报价货币；按磋商文件要求签署、盖章；供应商名称应填写全称，供应商名称与营业执照一致。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分项报价表 标的清单 报价表 供应商服务类项目业绩证明材料 供应商承诺书 响应函 服务要求应答表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服务期限符合磋商文件要求。</w:t>
            </w:r>
          </w:p>
        </w:tc>
        <w:tc>
          <w:tcPr>
            <w:tcW w:type="dxa" w:w="1661"/>
          </w:tcPr>
          <w:p>
            <w:pPr>
              <w:pStyle w:val="null3"/>
            </w:pPr>
            <w:r>
              <w:rPr>
                <w:rFonts w:ascii="仿宋_GB2312" w:hAnsi="仿宋_GB2312" w:cs="仿宋_GB2312" w:eastAsia="仿宋_GB2312"/>
              </w:rPr>
              <w:t>标的清单 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供应商针对本项目需求分析和理解</w:t>
            </w:r>
          </w:p>
        </w:tc>
        <w:tc>
          <w:tcPr>
            <w:tcW w:type="dxa" w:w="2492"/>
          </w:tcPr>
          <w:p>
            <w:pPr>
              <w:pStyle w:val="null3"/>
            </w:pPr>
            <w:r>
              <w:rPr>
                <w:rFonts w:ascii="仿宋_GB2312" w:hAnsi="仿宋_GB2312" w:cs="仿宋_GB2312" w:eastAsia="仿宋_GB2312"/>
              </w:rPr>
              <w:t>供应商梳理文物保护文物巡查有关政策和管理办法，结合西安市文物保护及巡查现状，全面分析本项目背景，深入理解本项目需求。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供应商针对本项目需求分析和理解</w:t>
            </w:r>
          </w:p>
        </w:tc>
      </w:tr>
      <w:tr>
        <w:tc>
          <w:tcPr>
            <w:tcW w:type="dxa" w:w="831"/>
            <w:vMerge/>
          </w:tcPr>
          <w:p/>
        </w:tc>
        <w:tc>
          <w:tcPr>
            <w:tcW w:type="dxa" w:w="1661"/>
          </w:tcPr>
          <w:p>
            <w:pPr>
              <w:pStyle w:val="null3"/>
            </w:pPr>
            <w:r>
              <w:rPr>
                <w:rFonts w:ascii="仿宋_GB2312" w:hAnsi="仿宋_GB2312" w:cs="仿宋_GB2312" w:eastAsia="仿宋_GB2312"/>
              </w:rPr>
              <w:t>整体管理方案</w:t>
            </w:r>
          </w:p>
        </w:tc>
        <w:tc>
          <w:tcPr>
            <w:tcW w:type="dxa" w:w="2492"/>
          </w:tcPr>
          <w:p>
            <w:pPr>
              <w:pStyle w:val="null3"/>
            </w:pPr>
            <w:r>
              <w:rPr>
                <w:rFonts w:ascii="仿宋_GB2312" w:hAnsi="仿宋_GB2312" w:cs="仿宋_GB2312" w:eastAsia="仿宋_GB2312"/>
              </w:rPr>
              <w:t>提供针对本项目整体管理方案，内容包括：1.供应商满足本项目采购需求的管理优势及管理经验 (4分) ；2.针对本项目管理方面重点难点分析及对应的解决方案(4分)。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整体管理方案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巡查检查实施方案，内容包括1.巡查检查总体思路（2分）；2.巡查检查计划（2分）；3.巡查检查具体实施方案（4分）。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组织机构建设方案</w:t>
            </w:r>
          </w:p>
        </w:tc>
        <w:tc>
          <w:tcPr>
            <w:tcW w:type="dxa" w:w="2492"/>
          </w:tcPr>
          <w:p>
            <w:pPr>
              <w:pStyle w:val="null3"/>
            </w:pPr>
            <w:r>
              <w:rPr>
                <w:rFonts w:ascii="仿宋_GB2312" w:hAnsi="仿宋_GB2312" w:cs="仿宋_GB2312" w:eastAsia="仿宋_GB2312"/>
              </w:rPr>
              <w:t>针对本项目提供组织机构建设方案，内容包括：1.管理机构组建方案（3分）；2.专业服务团队的职能分工及应急方案（5分）。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组织机构建设方案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提供针对本项目人员配置方案，内容包括：1.拟派人员配置清单包括岗位名称、人员姓名、数量、岗位职责等（4分）；2.配置的专项检查巡查人员需提供安防、消防、法律法规及管理等相关专业的5年以上工作经验，并具备中级及以上职称（4分）。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人员配置方案</w:t>
            </w:r>
          </w:p>
        </w:tc>
      </w:tr>
      <w:tr>
        <w:tc>
          <w:tcPr>
            <w:tcW w:type="dxa" w:w="831"/>
            <w:vMerge/>
          </w:tcPr>
          <w:p/>
        </w:tc>
        <w:tc>
          <w:tcPr>
            <w:tcW w:type="dxa" w:w="1661"/>
          </w:tcPr>
          <w:p>
            <w:pPr>
              <w:pStyle w:val="null3"/>
            </w:pPr>
            <w:r>
              <w:rPr>
                <w:rFonts w:ascii="仿宋_GB2312" w:hAnsi="仿宋_GB2312" w:cs="仿宋_GB2312" w:eastAsia="仿宋_GB2312"/>
              </w:rPr>
              <w:t>物资装备及耗材配置方案</w:t>
            </w:r>
          </w:p>
        </w:tc>
        <w:tc>
          <w:tcPr>
            <w:tcW w:type="dxa" w:w="2492"/>
          </w:tcPr>
          <w:p>
            <w:pPr>
              <w:pStyle w:val="null3"/>
            </w:pPr>
            <w:r>
              <w:rPr>
                <w:rFonts w:ascii="仿宋_GB2312" w:hAnsi="仿宋_GB2312" w:cs="仿宋_GB2312" w:eastAsia="仿宋_GB2312"/>
              </w:rPr>
              <w:t>提供针对本项目物资装备及耗材配置方案，内容包括：拟投入车辆、工具、装备、用具等，物资装备及耗材完整详细，配置方案满足项目合理性、实用性、先进性要求。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物资装备及耗材配置方案</w:t>
            </w:r>
          </w:p>
        </w:tc>
      </w:tr>
      <w:tr>
        <w:tc>
          <w:tcPr>
            <w:tcW w:type="dxa" w:w="831"/>
            <w:vMerge/>
          </w:tcPr>
          <w:p/>
        </w:tc>
        <w:tc>
          <w:tcPr>
            <w:tcW w:type="dxa" w:w="1661"/>
          </w:tcPr>
          <w:p>
            <w:pPr>
              <w:pStyle w:val="null3"/>
            </w:pPr>
            <w:r>
              <w:rPr>
                <w:rFonts w:ascii="仿宋_GB2312" w:hAnsi="仿宋_GB2312" w:cs="仿宋_GB2312" w:eastAsia="仿宋_GB2312"/>
              </w:rPr>
              <w:t>现场陈述</w:t>
            </w:r>
          </w:p>
        </w:tc>
        <w:tc>
          <w:tcPr>
            <w:tcW w:type="dxa" w:w="2492"/>
          </w:tcPr>
          <w:p>
            <w:pPr>
              <w:pStyle w:val="null3"/>
            </w:pPr>
            <w:r>
              <w:rPr>
                <w:rFonts w:ascii="仿宋_GB2312" w:hAnsi="仿宋_GB2312" w:cs="仿宋_GB2312" w:eastAsia="仿宋_GB2312"/>
              </w:rPr>
              <w:t>供应商针对本项目采购需求的理解、项目实施、实施过程中重点难点分析进行现场陈述（陈述形式为供应商拟派项目负责人进行陈述，包括但不限于PDF、PPT等辅助形式），要求陈述内容清晰明确，贴合项目需求。内容完全满足项目需求、针对性强、完全可行，无瑕疵，计8分；内容满足项目需求、针对性尚可、可行性尚可，存在1处瑕疵，计6分；内容一般、针对性一般、基本可行，存在2处瑕疵，计4分；内容较差、针对性较差、可行性较差，存在3处瑕疵，计2分；未提供或内容存在4处及以上瑕疵不计分。 注：（1）请供应商于开标截止时间前到达西安市莲湖区环城西路南段元晟合中心6层会议室进行现场陈述，陈述所需设备自备；（2）陈述应由拟派项目负责人进行陈述，与团队人员中名单中项目负责人一致。（3）陈述时间不超过10分钟，陈述时因网络或其他因素造成的任何后果由供应商自负。</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现场陈述</w:t>
            </w:r>
          </w:p>
        </w:tc>
      </w:tr>
      <w:tr>
        <w:tc>
          <w:tcPr>
            <w:tcW w:type="dxa" w:w="831"/>
            <w:vMerge/>
          </w:tcPr>
          <w:p/>
        </w:tc>
        <w:tc>
          <w:tcPr>
            <w:tcW w:type="dxa" w:w="1661"/>
          </w:tcPr>
          <w:p>
            <w:pPr>
              <w:pStyle w:val="null3"/>
            </w:pPr>
            <w:r>
              <w:rPr>
                <w:rFonts w:ascii="仿宋_GB2312" w:hAnsi="仿宋_GB2312" w:cs="仿宋_GB2312" w:eastAsia="仿宋_GB2312"/>
              </w:rPr>
              <w:t>员工管理方案</w:t>
            </w:r>
          </w:p>
        </w:tc>
        <w:tc>
          <w:tcPr>
            <w:tcW w:type="dxa" w:w="2492"/>
          </w:tcPr>
          <w:p>
            <w:pPr>
              <w:pStyle w:val="null3"/>
            </w:pPr>
            <w:r>
              <w:rPr>
                <w:rFonts w:ascii="仿宋_GB2312" w:hAnsi="仿宋_GB2312" w:cs="仿宋_GB2312" w:eastAsia="仿宋_GB2312"/>
              </w:rPr>
              <w:t>提供员工管理方案，内容包括：1.员工招聘上岗、专业培养、素质教育、日常管理等制度健全（3分）；2.薪酬待遇、员工考核、奖惩激励等机制健全（3分）。内容完全满足项目需求、针对性强、完全可行，无瑕疵，计6分；内容满足项目需求、针对性尚可、可行性尚可，存在1处瑕疵，计5分；内容一般、针对性一般、基本可行，存在2处瑕疵，计3分；内容较差、针对性较差、可行性较差，存在3处瑕疵，计1分；未提供或内容存在4处及以上瑕疵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员工管理方案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岗位职责范围内各种资料，提供档案管理方案，内容包含：1.合理的规划措施（2分）；2.保管措施和移交措施（2分）；3.针对本项目档案资料管理办法（2分）。根据以上内容的专业性、规范性、可行性进行赋分。内容完全满足项目需求、针对性强、完全可行，无瑕疵，计6分；内容满足项目需求、针对性尚可、可行性尚可，存在1处瑕疵，计5分；内容一般、针对性一般、基本可行，存在2处瑕疵，计3分；内容较差、针对性较差、可行性较差，存在3处瑕疵，计1分；未提供或内容存在4处及以上瑕疵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提供服务保障措施，内容包括组织保障、人员保障、设备保障，以及后续服务保障。内容完全满足项目需求、针对性强、完全可行，无瑕疵，计6分；内容满足项目需求、针对性尚可、可行性尚可，存在1处瑕疵，计5分；内容一般、针对性一般、基本可行，存在2处瑕疵，计3分；内容较差、针对性较差、可行性较差，存在3处瑕疵，计1分；未提供或内容存在4处及以上瑕疵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供应商提供服务承诺，内容包括： 1.承诺：储备可调度人员，调度人员可保障专项检查、突发事件、临时任务，得1分，无承诺不得分； 2.承诺：接受采购人对服务的考核、监督及管理，得 1 分，无承诺不得分； 3.承诺：定期调研采购人对服务质量的满意度并加以改进，确保服务工作的优质高效，得1分，无承诺不得分。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企业三大体系认证</w:t>
            </w:r>
          </w:p>
        </w:tc>
        <w:tc>
          <w:tcPr>
            <w:tcW w:type="dxa" w:w="2492"/>
          </w:tcPr>
          <w:p>
            <w:pPr>
              <w:pStyle w:val="null3"/>
            </w:pPr>
            <w:r>
              <w:rPr>
                <w:rFonts w:ascii="仿宋_GB2312" w:hAnsi="仿宋_GB2312" w:cs="仿宋_GB2312" w:eastAsia="仿宋_GB2312"/>
              </w:rPr>
              <w:t>供应商提供质量管理体系认证、环境管理体系认证、职业健康安全管理体系认证，三大体系认证齐全有效，计3分；每少提供一个体系认证扣1分，扣完为止；未提供不计分。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企业三大体系认证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以合同签订日期为准）服务类项目业绩（业绩包括合同、采购人满意度评价、服务费用发票，三者缺一不可），每提供一份业绩计1分，最多得5分；提供的服务类项目业绩为文物相关保障服务类项目业绩的，每提供一份加1分，最多加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供应商服务类项目业绩证明材料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磋商报价采用低价优先法计算，即满足竞争性磋商文件要求且磋商报价最低的报价为评审基准价，其价格分为满分。其他供应商的价格分统一按照下列公式计算： 磋商报价得分=（评审基准价/磋商报价）×报价分值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详见附件：供应商针对本项目需求分析和理解</w:t>
      </w:r>
    </w:p>
    <w:p>
      <w:pPr>
        <w:pStyle w:val="null3"/>
        <w:ind w:firstLine="960"/>
      </w:pPr>
      <w:r>
        <w:rPr>
          <w:rFonts w:ascii="仿宋_GB2312" w:hAnsi="仿宋_GB2312" w:cs="仿宋_GB2312" w:eastAsia="仿宋_GB2312"/>
        </w:rPr>
        <w:t>详见附件：整体管理方案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详见附件：组织机构建设方案</w:t>
      </w:r>
    </w:p>
    <w:p>
      <w:pPr>
        <w:pStyle w:val="null3"/>
        <w:ind w:firstLine="960"/>
      </w:pPr>
      <w:r>
        <w:rPr>
          <w:rFonts w:ascii="仿宋_GB2312" w:hAnsi="仿宋_GB2312" w:cs="仿宋_GB2312" w:eastAsia="仿宋_GB2312"/>
        </w:rPr>
        <w:t>详见附件：人员配置方案</w:t>
      </w:r>
    </w:p>
    <w:p>
      <w:pPr>
        <w:pStyle w:val="null3"/>
        <w:ind w:firstLine="960"/>
      </w:pPr>
      <w:r>
        <w:rPr>
          <w:rFonts w:ascii="仿宋_GB2312" w:hAnsi="仿宋_GB2312" w:cs="仿宋_GB2312" w:eastAsia="仿宋_GB2312"/>
        </w:rPr>
        <w:t>详见附件：物资装备及耗材配置方案</w:t>
      </w:r>
    </w:p>
    <w:p>
      <w:pPr>
        <w:pStyle w:val="null3"/>
        <w:ind w:firstLine="960"/>
      </w:pPr>
      <w:r>
        <w:rPr>
          <w:rFonts w:ascii="仿宋_GB2312" w:hAnsi="仿宋_GB2312" w:cs="仿宋_GB2312" w:eastAsia="仿宋_GB2312"/>
        </w:rPr>
        <w:t>详见附件：现场陈述</w:t>
      </w:r>
    </w:p>
    <w:p>
      <w:pPr>
        <w:pStyle w:val="null3"/>
        <w:ind w:firstLine="960"/>
      </w:pPr>
      <w:r>
        <w:rPr>
          <w:rFonts w:ascii="仿宋_GB2312" w:hAnsi="仿宋_GB2312" w:cs="仿宋_GB2312" w:eastAsia="仿宋_GB2312"/>
        </w:rPr>
        <w:t>详见附件：员工管理方案</w:t>
      </w:r>
    </w:p>
    <w:p>
      <w:pPr>
        <w:pStyle w:val="null3"/>
        <w:ind w:firstLine="960"/>
      </w:pPr>
      <w:r>
        <w:rPr>
          <w:rFonts w:ascii="仿宋_GB2312" w:hAnsi="仿宋_GB2312" w:cs="仿宋_GB2312" w:eastAsia="仿宋_GB2312"/>
        </w:rPr>
        <w:t>详见附件：档案管理方案</w:t>
      </w:r>
    </w:p>
    <w:p>
      <w:pPr>
        <w:pStyle w:val="null3"/>
        <w:ind w:firstLine="960"/>
      </w:pPr>
      <w:r>
        <w:rPr>
          <w:rFonts w:ascii="仿宋_GB2312" w:hAnsi="仿宋_GB2312" w:cs="仿宋_GB2312" w:eastAsia="仿宋_GB2312"/>
        </w:rPr>
        <w:t>详见附件：服务保障措施</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详见附件：企业三大体系认证</w:t>
      </w:r>
    </w:p>
    <w:p>
      <w:pPr>
        <w:pStyle w:val="null3"/>
        <w:ind w:firstLine="960"/>
      </w:pPr>
      <w:r>
        <w:rPr>
          <w:rFonts w:ascii="仿宋_GB2312" w:hAnsi="仿宋_GB2312" w:cs="仿宋_GB2312" w:eastAsia="仿宋_GB2312"/>
        </w:rPr>
        <w:t>详见附件：供应商服务类项目业绩证明材料</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