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版本号：ZHZB-2025-5520250805002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西安市餐饮单位油烟在线监测服务采购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ZHZB-2025-55</w:t>
      </w:r>
      <w:r>
        <w:br/>
      </w:r>
      <w:r>
        <w:br/>
      </w:r>
      <w:r>
        <w:br/>
      </w:r>
    </w:p>
    <w:p>
      <w:pPr>
        <w:pStyle w:val="null3"/>
        <w:jc w:val="center"/>
        <w:outlineLvl w:val="2"/>
      </w:pPr>
      <w:r>
        <w:rPr>
          <w:rFonts w:ascii="仿宋_GB2312" w:hAnsi="仿宋_GB2312" w:cs="仿宋_GB2312" w:eastAsia="仿宋_GB2312"/>
          <w:sz w:val="28"/>
          <w:b/>
        </w:rPr>
        <w:t>西安市城市管理和综合执法局</w:t>
      </w:r>
    </w:p>
    <w:p>
      <w:pPr>
        <w:pStyle w:val="null3"/>
        <w:jc w:val="center"/>
        <w:outlineLvl w:val="2"/>
      </w:pPr>
      <w:r>
        <w:rPr>
          <w:rFonts w:ascii="仿宋_GB2312" w:hAnsi="仿宋_GB2312" w:cs="仿宋_GB2312" w:eastAsia="仿宋_GB2312"/>
          <w:sz w:val="28"/>
          <w:b/>
        </w:rPr>
        <w:t>众合国际项目管理有限公司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众合国际项目管理有限公司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西安市城市管理和综合执法局</w:t>
      </w:r>
      <w:r>
        <w:rPr>
          <w:rFonts w:ascii="仿宋_GB2312" w:hAnsi="仿宋_GB2312" w:cs="仿宋_GB2312" w:eastAsia="仿宋_GB2312"/>
        </w:rPr>
        <w:t>委托，拟对</w:t>
      </w:r>
      <w:r>
        <w:rPr>
          <w:rFonts w:ascii="仿宋_GB2312" w:hAnsi="仿宋_GB2312" w:cs="仿宋_GB2312" w:eastAsia="仿宋_GB2312"/>
        </w:rPr>
        <w:t>西安市餐饮单位油烟在线监测服务采购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ZHZB-2025-55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西安市餐饮单位油烟在线监测服务采购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对全市1000平米以上餐饮单位开展油烟在线实时监控，进一步引导督促餐饮单位安装并有效使用油烟净化设备，实现达标排放。</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采购包1（西安市餐饮单位油烟在线监测服务采购）：属于专门面向中小企业采购。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1、供应商主体：供应商为具有独立承担民事责任能力的法人、其他组织或自然人（提供合格有效的法人或者其他组织的营业执照、事业单位法人证等证明文件或自然人的身份证明）。</w:t>
      </w:r>
    </w:p>
    <w:p>
      <w:pPr>
        <w:pStyle w:val="null3"/>
      </w:pPr>
      <w:r>
        <w:rPr>
          <w:rFonts w:ascii="仿宋_GB2312" w:hAnsi="仿宋_GB2312" w:cs="仿宋_GB2312" w:eastAsia="仿宋_GB2312"/>
        </w:rPr>
        <w:t>2、财务状况报告：提供2023年度或2024年度经审计的财务会计报告（成立时间至提交投标文件截止时间不足一年的可提供成立后任意时段的资产负债表）； 或其递交投标文件截止之日前三个月内基本开户银行出具的资信证明（附《基本存款账户信息》或《银行开户许可证》复印件）。</w:t>
      </w:r>
    </w:p>
    <w:p>
      <w:pPr>
        <w:pStyle w:val="null3"/>
      </w:pPr>
      <w:r>
        <w:rPr>
          <w:rFonts w:ascii="仿宋_GB2312" w:hAnsi="仿宋_GB2312" w:cs="仿宋_GB2312" w:eastAsia="仿宋_GB2312"/>
        </w:rPr>
        <w:t>3、税收缴纳证明：提供投标截止时间前半年内任意一个月的纳税证明或完税证明，依法免税的单位应提供相关证明材料。</w:t>
      </w:r>
    </w:p>
    <w:p>
      <w:pPr>
        <w:pStyle w:val="null3"/>
      </w:pPr>
      <w:r>
        <w:rPr>
          <w:rFonts w:ascii="仿宋_GB2312" w:hAnsi="仿宋_GB2312" w:cs="仿宋_GB2312" w:eastAsia="仿宋_GB2312"/>
        </w:rPr>
        <w:t>4、社会保障资金缴纳证明：提供投标截止时间前半年内任意一个月的社会保障资金缴存单据或社保机构开具的社会保险参保缴费情况证明，依法不需要缴纳社会保障资金的单位应提供相关证明材料。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5、书面声明：提供参加本次政府采购活动前三年内在经营活动中没有重大违法记录的书面声明。</w:t>
      </w:r>
    </w:p>
    <w:p>
      <w:pPr>
        <w:pStyle w:val="null3"/>
      </w:pPr>
      <w:r>
        <w:rPr>
          <w:rFonts w:ascii="仿宋_GB2312" w:hAnsi="仿宋_GB2312" w:cs="仿宋_GB2312" w:eastAsia="仿宋_GB2312"/>
        </w:rPr>
        <w:t>6、承诺函：提供具有履行合同所必须的设备和专业技术能力的承诺函。</w:t>
      </w:r>
    </w:p>
    <w:p>
      <w:pPr>
        <w:pStyle w:val="null3"/>
      </w:pPr>
      <w:r>
        <w:rPr>
          <w:rFonts w:ascii="仿宋_GB2312" w:hAnsi="仿宋_GB2312" w:cs="仿宋_GB2312" w:eastAsia="仿宋_GB2312"/>
        </w:rPr>
        <w:t>7、法定代表人授权书（或法定代表人证明书）：法定代表人授权委托书（附法定代表人身份证复印件及被授权人身份证复印件）；法定代表人直接参加投标只须提供法定代表人身份证明书（附法定代表人身份证复印件）。</w:t>
      </w:r>
    </w:p>
    <w:p>
      <w:pPr>
        <w:pStyle w:val="null3"/>
      </w:pPr>
      <w:r>
        <w:rPr>
          <w:rFonts w:ascii="仿宋_GB2312" w:hAnsi="仿宋_GB2312" w:cs="仿宋_GB2312" w:eastAsia="仿宋_GB2312"/>
        </w:rPr>
        <w:t>8、联合体：本项目不接受联合体投标。</w:t>
      </w:r>
    </w:p>
    <w:p>
      <w:pPr>
        <w:pStyle w:val="null3"/>
      </w:pPr>
      <w:r>
        <w:rPr>
          <w:rFonts w:ascii="仿宋_GB2312" w:hAnsi="仿宋_GB2312" w:cs="仿宋_GB2312" w:eastAsia="仿宋_GB2312"/>
        </w:rPr>
        <w:t>9、信誉要求：供应商未被列入“信用中国”网站记录的“失信被执行人”和“重大税收违法失信主体”名单；不处于“中国政府采购网”记录的“政府采购严重违法失信行为记录名单”中的禁止参加政府采购活动期间。（以采购人或采购代理机构开标当天查询结果为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西安市城市管理和综合执法局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杨彦锋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029-86788459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众合国际项目管理有限公司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陕西省西安市莲湖区丰登南路3号PM中心三楼306室（丰庆公园北门往西200米）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张盼 王臻 王阿磊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15502905959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采购包1：1,777,000.00元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及发改价格[2011]534号文件的规定标准，以中标价为基准，费率下浮23%计取代理服务费。代理服务费缴纳账户信息： 银行户名：众合国际项目管理有限公司 开户银行：西安银行股份有限公司高新四路支行 账 号：611011580000 085834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西安市城市管理和综合执法局</w:t>
      </w:r>
      <w:r>
        <w:rPr>
          <w:rFonts w:ascii="仿宋_GB2312" w:hAnsi="仿宋_GB2312" w:cs="仿宋_GB2312" w:eastAsia="仿宋_GB2312"/>
        </w:rPr>
        <w:t>和</w:t>
      </w:r>
      <w:r>
        <w:rPr>
          <w:rFonts w:ascii="仿宋_GB2312" w:hAnsi="仿宋_GB2312" w:cs="仿宋_GB2312" w:eastAsia="仿宋_GB2312"/>
        </w:rPr>
        <w:t>众合国际项目管理有限公司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西安市城市管理和综合执法局</w:t>
      </w:r>
      <w:r>
        <w:rPr>
          <w:rFonts w:ascii="仿宋_GB2312" w:hAnsi="仿宋_GB2312" w:cs="仿宋_GB2312" w:eastAsia="仿宋_GB2312"/>
        </w:rPr>
        <w:t>负责解释。除上述招标文件内容，其他内容由</w:t>
      </w:r>
      <w:r>
        <w:rPr>
          <w:rFonts w:ascii="仿宋_GB2312" w:hAnsi="仿宋_GB2312" w:cs="仿宋_GB2312" w:eastAsia="仿宋_GB2312"/>
        </w:rPr>
        <w:t>众合国际项目管理有限公司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西安市城市管理和综合执法局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众合国际项目管理有限公司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按采购文件、投标文件及合同进行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众合国际项目管理有限公司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众合国际项目管理有限公司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众合国际项目管理有限公司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联系人：张盼 王臻 王阿磊</w:t>
      </w:r>
    </w:p>
    <w:p>
      <w:pPr>
        <w:pStyle w:val="null3"/>
      </w:pPr>
      <w:r>
        <w:rPr>
          <w:rFonts w:ascii="仿宋_GB2312" w:hAnsi="仿宋_GB2312" w:cs="仿宋_GB2312" w:eastAsia="仿宋_GB2312"/>
        </w:rPr>
        <w:t>联系电话：15502905959</w:t>
      </w:r>
    </w:p>
    <w:p>
      <w:pPr>
        <w:pStyle w:val="null3"/>
      </w:pPr>
      <w:r>
        <w:rPr>
          <w:rFonts w:ascii="仿宋_GB2312" w:hAnsi="仿宋_GB2312" w:cs="仿宋_GB2312" w:eastAsia="仿宋_GB2312"/>
        </w:rPr>
        <w:t>地址：陕西省西安市莲湖区丰登南路3号PM中心三楼306室（丰庆公园北门往西200米）</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对全市1000平米以上餐饮单位开展油烟在线实时监控，进一步引导督促餐饮单位安装并有效使用油烟净化设备，实现达标排放。</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1,777,000.00</w:t>
      </w:r>
    </w:p>
    <w:p>
      <w:pPr>
        <w:pStyle w:val="null3"/>
      </w:pPr>
      <w:r>
        <w:rPr>
          <w:rFonts w:ascii="仿宋_GB2312" w:hAnsi="仿宋_GB2312" w:cs="仿宋_GB2312" w:eastAsia="仿宋_GB2312"/>
        </w:rPr>
        <w:t>采购包最高限价（元）: 1,777,000.00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西安市餐饮单位油烟在线监测服务采购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1,777,000.00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标的名称：西安市餐饮单位油烟在线监测服务采购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outlineLvl w:val="3"/>
            </w:pPr>
            <w:r>
              <w:rPr>
                <w:rFonts w:ascii="仿宋_GB2312" w:hAnsi="仿宋_GB2312" w:cs="仿宋_GB2312" w:eastAsia="仿宋_GB2312"/>
                <w:sz w:val="20"/>
                <w:b/>
              </w:rPr>
              <w:t>一、项目概况</w:t>
            </w:r>
          </w:p>
          <w:p>
            <w:pPr>
              <w:pStyle w:val="null3"/>
              <w:jc w:val="both"/>
              <w:outlineLvl w:val="3"/>
            </w:pPr>
            <w:r>
              <w:rPr>
                <w:rFonts w:ascii="仿宋_GB2312" w:hAnsi="仿宋_GB2312" w:cs="仿宋_GB2312" w:eastAsia="仿宋_GB2312"/>
                <w:sz w:val="20"/>
                <w:b/>
              </w:rPr>
              <w:t>按照《陕西省餐饮油烟治理专项方案（</w:t>
            </w:r>
            <w:r>
              <w:rPr>
                <w:rFonts w:ascii="仿宋_GB2312" w:hAnsi="仿宋_GB2312" w:cs="仿宋_GB2312" w:eastAsia="仿宋_GB2312"/>
                <w:sz w:val="20"/>
                <w:b/>
              </w:rPr>
              <w:t>2023-2027年）》、和《西安市大气污染治理专项行动方案（2023-2027年）》及《西安市挥发性有机物污染整治专项实施方案》要求，对全市1000平米以上大型餐饮单位开展餐饮油烟在线监控工作，进一步引导督促餐饮单位安装并有效使用油烟净化设备，实现达标排放。</w:t>
            </w:r>
          </w:p>
          <w:p>
            <w:pPr>
              <w:pStyle w:val="null3"/>
              <w:jc w:val="both"/>
              <w:outlineLvl w:val="3"/>
            </w:pPr>
            <w:r>
              <w:rPr>
                <w:rFonts w:ascii="仿宋_GB2312" w:hAnsi="仿宋_GB2312" w:cs="仿宋_GB2312" w:eastAsia="仿宋_GB2312"/>
                <w:sz w:val="20"/>
                <w:b/>
              </w:rPr>
              <w:t>二、服务内容</w:t>
            </w:r>
          </w:p>
          <w:p>
            <w:pPr>
              <w:pStyle w:val="null3"/>
              <w:jc w:val="both"/>
              <w:outlineLvl w:val="3"/>
            </w:pPr>
            <w:r>
              <w:rPr>
                <w:rFonts w:ascii="仿宋_GB2312" w:hAnsi="仿宋_GB2312" w:cs="仿宋_GB2312" w:eastAsia="仿宋_GB2312"/>
                <w:sz w:val="20"/>
                <w:b/>
              </w:rPr>
              <w:t>（一）</w:t>
            </w:r>
            <w:r>
              <w:rPr>
                <w:rFonts w:ascii="仿宋_GB2312" w:hAnsi="仿宋_GB2312" w:cs="仿宋_GB2312" w:eastAsia="仿宋_GB2312"/>
                <w:sz w:val="20"/>
                <w:b/>
              </w:rPr>
              <w:t>西安市餐饮油烟在线监控系统</w:t>
            </w:r>
          </w:p>
          <w:p>
            <w:pPr>
              <w:pStyle w:val="null3"/>
              <w:ind w:firstLine="400"/>
              <w:jc w:val="both"/>
            </w:pPr>
            <w:r>
              <w:rPr>
                <w:rFonts w:ascii="仿宋_GB2312" w:hAnsi="仿宋_GB2312" w:cs="仿宋_GB2312" w:eastAsia="仿宋_GB2312"/>
                <w:sz w:val="20"/>
                <w:color w:val="000000"/>
              </w:rPr>
              <w:t>西安市餐饮单位油烟在线监测</w:t>
            </w:r>
            <w:r>
              <w:rPr>
                <w:rFonts w:ascii="仿宋_GB2312" w:hAnsi="仿宋_GB2312" w:cs="仿宋_GB2312" w:eastAsia="仿宋_GB2312"/>
                <w:sz w:val="20"/>
                <w:color w:val="000000"/>
              </w:rPr>
              <w:t>平台</w:t>
            </w:r>
            <w:r>
              <w:rPr>
                <w:rFonts w:ascii="仿宋_GB2312" w:hAnsi="仿宋_GB2312" w:cs="仿宋_GB2312" w:eastAsia="仿宋_GB2312"/>
                <w:sz w:val="20"/>
                <w:color w:val="000000"/>
              </w:rPr>
              <w:t>服务是为了对</w:t>
            </w:r>
            <w:r>
              <w:rPr>
                <w:rFonts w:ascii="仿宋_GB2312" w:hAnsi="仿宋_GB2312" w:cs="仿宋_GB2312" w:eastAsia="仿宋_GB2312"/>
                <w:sz w:val="20"/>
                <w:color w:val="000000"/>
              </w:rPr>
              <w:t>全市经营面积</w:t>
            </w:r>
            <w:r>
              <w:rPr>
                <w:rFonts w:ascii="仿宋_GB2312" w:hAnsi="仿宋_GB2312" w:cs="仿宋_GB2312" w:eastAsia="仿宋_GB2312"/>
                <w:sz w:val="20"/>
                <w:color w:val="000000"/>
              </w:rPr>
              <w:t>1000平米以上</w:t>
            </w:r>
            <w:r>
              <w:rPr>
                <w:rFonts w:ascii="仿宋_GB2312" w:hAnsi="仿宋_GB2312" w:cs="仿宋_GB2312" w:eastAsia="仿宋_GB2312"/>
                <w:sz w:val="20"/>
                <w:color w:val="000000"/>
              </w:rPr>
              <w:t>餐饮</w:t>
            </w:r>
            <w:r>
              <w:rPr>
                <w:rFonts w:ascii="仿宋_GB2312" w:hAnsi="仿宋_GB2312" w:cs="仿宋_GB2312" w:eastAsia="仿宋_GB2312"/>
                <w:sz w:val="20"/>
                <w:color w:val="000000"/>
              </w:rPr>
              <w:t>单位</w:t>
            </w:r>
            <w:r>
              <w:rPr>
                <w:rFonts w:ascii="仿宋_GB2312" w:hAnsi="仿宋_GB2312" w:cs="仿宋_GB2312" w:eastAsia="仿宋_GB2312"/>
                <w:sz w:val="20"/>
                <w:color w:val="000000"/>
              </w:rPr>
              <w:t>油烟净化设施运行状况开展实时连续跟踪监测，实时采集相关数据并进行分析，实现对油烟治理的监管，并提前判断餐饮油烟排放走势，变事后处理为事前预防，变末端控制为全过程监管，并形成专业数据报表，为监管提供决策参考</w:t>
            </w:r>
            <w:r>
              <w:rPr>
                <w:rFonts w:ascii="仿宋_GB2312" w:hAnsi="仿宋_GB2312" w:cs="仿宋_GB2312" w:eastAsia="仿宋_GB2312"/>
                <w:sz w:val="20"/>
                <w:color w:val="000000"/>
              </w:rPr>
              <w:t>。</w:t>
            </w:r>
          </w:p>
          <w:p>
            <w:pPr>
              <w:pStyle w:val="null3"/>
              <w:ind w:firstLine="400"/>
              <w:jc w:val="both"/>
            </w:pPr>
            <w:r>
              <w:rPr>
                <w:rFonts w:ascii="仿宋_GB2312" w:hAnsi="仿宋_GB2312" w:cs="仿宋_GB2312" w:eastAsia="仿宋_GB2312"/>
                <w:sz w:val="20"/>
                <w:color w:val="000000"/>
              </w:rPr>
              <w:t>功能包括：</w:t>
            </w:r>
            <w:r>
              <w:rPr>
                <w:rFonts w:ascii="仿宋_GB2312" w:hAnsi="仿宋_GB2312" w:cs="仿宋_GB2312" w:eastAsia="仿宋_GB2312"/>
                <w:sz w:val="20"/>
                <w:color w:val="000000"/>
              </w:rPr>
              <w:t>1.</w:t>
            </w:r>
            <w:r>
              <w:rPr>
                <w:rFonts w:ascii="仿宋_GB2312" w:hAnsi="仿宋_GB2312" w:cs="仿宋_GB2312" w:eastAsia="仿宋_GB2312"/>
                <w:sz w:val="20"/>
                <w:color w:val="000000"/>
              </w:rPr>
              <w:t>用户权限管理</w:t>
            </w: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地图模式</w:t>
            </w: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列表模式</w:t>
            </w: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实时数据</w:t>
            </w: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历史数据</w:t>
            </w:r>
            <w:r>
              <w:rPr>
                <w:rFonts w:ascii="仿宋_GB2312" w:hAnsi="仿宋_GB2312" w:cs="仿宋_GB2312" w:eastAsia="仿宋_GB2312"/>
                <w:sz w:val="20"/>
                <w:color w:val="000000"/>
              </w:rPr>
              <w:t>；</w:t>
            </w:r>
            <w:r>
              <w:rPr>
                <w:rFonts w:ascii="仿宋_GB2312" w:hAnsi="仿宋_GB2312" w:cs="仿宋_GB2312" w:eastAsia="仿宋_GB2312"/>
                <w:sz w:val="20"/>
                <w:color w:val="000000"/>
              </w:rPr>
              <w:t>6.</w:t>
            </w:r>
            <w:r>
              <w:rPr>
                <w:rFonts w:ascii="仿宋_GB2312" w:hAnsi="仿宋_GB2312" w:cs="仿宋_GB2312" w:eastAsia="仿宋_GB2312"/>
                <w:sz w:val="20"/>
                <w:color w:val="000000"/>
              </w:rPr>
              <w:t>企业信息</w:t>
            </w:r>
            <w:r>
              <w:rPr>
                <w:rFonts w:ascii="仿宋_GB2312" w:hAnsi="仿宋_GB2312" w:cs="仿宋_GB2312" w:eastAsia="仿宋_GB2312"/>
                <w:sz w:val="20"/>
                <w:color w:val="000000"/>
              </w:rPr>
              <w:t>；</w:t>
            </w:r>
            <w:r>
              <w:rPr>
                <w:rFonts w:ascii="仿宋_GB2312" w:hAnsi="仿宋_GB2312" w:cs="仿宋_GB2312" w:eastAsia="仿宋_GB2312"/>
                <w:sz w:val="20"/>
                <w:color w:val="000000"/>
              </w:rPr>
              <w:t>7.</w:t>
            </w:r>
            <w:r>
              <w:rPr>
                <w:rFonts w:ascii="仿宋_GB2312" w:hAnsi="仿宋_GB2312" w:cs="仿宋_GB2312" w:eastAsia="仿宋_GB2312"/>
                <w:sz w:val="20"/>
                <w:color w:val="000000"/>
              </w:rPr>
              <w:t>超标统计</w:t>
            </w:r>
            <w:r>
              <w:rPr>
                <w:rFonts w:ascii="仿宋_GB2312" w:hAnsi="仿宋_GB2312" w:cs="仿宋_GB2312" w:eastAsia="仿宋_GB2312"/>
                <w:sz w:val="20"/>
                <w:color w:val="000000"/>
              </w:rPr>
              <w:t>；</w:t>
            </w:r>
            <w:r>
              <w:rPr>
                <w:rFonts w:ascii="仿宋_GB2312" w:hAnsi="仿宋_GB2312" w:cs="仿宋_GB2312" w:eastAsia="仿宋_GB2312"/>
                <w:sz w:val="20"/>
                <w:color w:val="000000"/>
              </w:rPr>
              <w:t>8.</w:t>
            </w:r>
            <w:r>
              <w:rPr>
                <w:rFonts w:ascii="仿宋_GB2312" w:hAnsi="仿宋_GB2312" w:cs="仿宋_GB2312" w:eastAsia="仿宋_GB2312"/>
                <w:sz w:val="20"/>
                <w:color w:val="000000"/>
              </w:rPr>
              <w:t>报表</w:t>
            </w:r>
            <w:r>
              <w:rPr>
                <w:rFonts w:ascii="仿宋_GB2312" w:hAnsi="仿宋_GB2312" w:cs="仿宋_GB2312" w:eastAsia="仿宋_GB2312"/>
                <w:sz w:val="20"/>
                <w:color w:val="000000"/>
              </w:rPr>
              <w:t>；</w:t>
            </w:r>
            <w:r>
              <w:rPr>
                <w:rFonts w:ascii="仿宋_GB2312" w:hAnsi="仿宋_GB2312" w:cs="仿宋_GB2312" w:eastAsia="仿宋_GB2312"/>
                <w:sz w:val="20"/>
                <w:color w:val="000000"/>
              </w:rPr>
              <w:t>9.</w:t>
            </w:r>
            <w:r>
              <w:rPr>
                <w:rFonts w:ascii="仿宋_GB2312" w:hAnsi="仿宋_GB2312" w:cs="仿宋_GB2312" w:eastAsia="仿宋_GB2312"/>
                <w:sz w:val="20"/>
                <w:color w:val="000000"/>
              </w:rPr>
              <w:t>清洗维护</w:t>
            </w:r>
            <w:r>
              <w:rPr>
                <w:rFonts w:ascii="仿宋_GB2312" w:hAnsi="仿宋_GB2312" w:cs="仿宋_GB2312" w:eastAsia="仿宋_GB2312"/>
                <w:sz w:val="20"/>
                <w:color w:val="000000"/>
              </w:rPr>
              <w:t>；</w:t>
            </w:r>
            <w:r>
              <w:rPr>
                <w:rFonts w:ascii="仿宋_GB2312" w:hAnsi="仿宋_GB2312" w:cs="仿宋_GB2312" w:eastAsia="仿宋_GB2312"/>
                <w:sz w:val="20"/>
                <w:color w:val="000000"/>
              </w:rPr>
              <w:t>10.</w:t>
            </w:r>
            <w:r>
              <w:rPr>
                <w:rFonts w:ascii="仿宋_GB2312" w:hAnsi="仿宋_GB2312" w:cs="仿宋_GB2312" w:eastAsia="仿宋_GB2312"/>
                <w:sz w:val="20"/>
                <w:color w:val="000000"/>
              </w:rPr>
              <w:t>企业备案</w:t>
            </w:r>
            <w:r>
              <w:rPr>
                <w:rFonts w:ascii="仿宋_GB2312" w:hAnsi="仿宋_GB2312" w:cs="仿宋_GB2312" w:eastAsia="仿宋_GB2312"/>
                <w:sz w:val="20"/>
                <w:color w:val="000000"/>
              </w:rPr>
              <w:t>；</w:t>
            </w:r>
            <w:r>
              <w:rPr>
                <w:rFonts w:ascii="仿宋_GB2312" w:hAnsi="仿宋_GB2312" w:cs="仿宋_GB2312" w:eastAsia="仿宋_GB2312"/>
                <w:sz w:val="20"/>
                <w:color w:val="000000"/>
              </w:rPr>
              <w:t>11.</w:t>
            </w:r>
            <w:r>
              <w:rPr>
                <w:rFonts w:ascii="仿宋_GB2312" w:hAnsi="仿宋_GB2312" w:cs="仿宋_GB2312" w:eastAsia="仿宋_GB2312"/>
                <w:sz w:val="20"/>
                <w:color w:val="000000"/>
              </w:rPr>
              <w:t>用户管理</w:t>
            </w:r>
            <w:r>
              <w:rPr>
                <w:rFonts w:ascii="仿宋_GB2312" w:hAnsi="仿宋_GB2312" w:cs="仿宋_GB2312" w:eastAsia="仿宋_GB2312"/>
                <w:sz w:val="20"/>
                <w:color w:val="000000"/>
              </w:rPr>
              <w:t>；</w:t>
            </w:r>
            <w:r>
              <w:rPr>
                <w:rFonts w:ascii="仿宋_GB2312" w:hAnsi="仿宋_GB2312" w:cs="仿宋_GB2312" w:eastAsia="仿宋_GB2312"/>
                <w:sz w:val="20"/>
                <w:color w:val="000000"/>
              </w:rPr>
              <w:t>12.</w:t>
            </w:r>
            <w:r>
              <w:rPr>
                <w:rFonts w:ascii="仿宋_GB2312" w:hAnsi="仿宋_GB2312" w:cs="仿宋_GB2312" w:eastAsia="仿宋_GB2312"/>
                <w:sz w:val="20"/>
                <w:color w:val="000000"/>
              </w:rPr>
              <w:t>设备管理</w:t>
            </w:r>
            <w:r>
              <w:rPr>
                <w:rFonts w:ascii="仿宋_GB2312" w:hAnsi="仿宋_GB2312" w:cs="仿宋_GB2312" w:eastAsia="仿宋_GB2312"/>
                <w:sz w:val="20"/>
                <w:color w:val="000000"/>
              </w:rPr>
              <w:t>等。</w:t>
            </w:r>
          </w:p>
          <w:p>
            <w:pPr>
              <w:pStyle w:val="null3"/>
              <w:jc w:val="both"/>
              <w:outlineLvl w:val="3"/>
            </w:pPr>
            <w:r>
              <w:rPr>
                <w:rFonts w:ascii="仿宋_GB2312" w:hAnsi="仿宋_GB2312" w:cs="仿宋_GB2312" w:eastAsia="仿宋_GB2312"/>
                <w:sz w:val="20"/>
                <w:b/>
              </w:rPr>
              <w:t>（二）</w:t>
            </w:r>
            <w:r>
              <w:rPr>
                <w:rFonts w:ascii="仿宋_GB2312" w:hAnsi="仿宋_GB2312" w:cs="仿宋_GB2312" w:eastAsia="仿宋_GB2312"/>
                <w:sz w:val="20"/>
                <w:b/>
              </w:rPr>
              <w:t>餐饮油烟在线监控手机客户端</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通过手机客户端可向用户推送最新餐饮油烟污染管理相关信息，用户也可快速联系管理人员。</w:t>
            </w:r>
          </w:p>
          <w:p>
            <w:pPr>
              <w:pStyle w:val="null3"/>
              <w:ind w:firstLine="400"/>
              <w:jc w:val="both"/>
            </w:pPr>
            <w:r>
              <w:rPr>
                <w:rFonts w:ascii="仿宋_GB2312" w:hAnsi="仿宋_GB2312" w:cs="仿宋_GB2312" w:eastAsia="仿宋_GB2312"/>
                <w:sz w:val="20"/>
                <w:color w:val="000000"/>
              </w:rPr>
              <w:t>功能包括：</w:t>
            </w:r>
            <w:r>
              <w:rPr>
                <w:rFonts w:ascii="仿宋_GB2312" w:hAnsi="仿宋_GB2312" w:cs="仿宋_GB2312" w:eastAsia="仿宋_GB2312"/>
                <w:sz w:val="20"/>
                <w:color w:val="000000"/>
              </w:rPr>
              <w:t>1.</w:t>
            </w:r>
            <w:r>
              <w:rPr>
                <w:rFonts w:ascii="仿宋_GB2312" w:hAnsi="仿宋_GB2312" w:cs="仿宋_GB2312" w:eastAsia="仿宋_GB2312"/>
                <w:sz w:val="20"/>
                <w:color w:val="000000"/>
              </w:rPr>
              <w:t>用户登录</w:t>
            </w: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地图模式</w:t>
            </w: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列表模式</w:t>
            </w: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超标统计</w:t>
            </w: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实时数据</w:t>
            </w:r>
            <w:r>
              <w:rPr>
                <w:rFonts w:ascii="仿宋_GB2312" w:hAnsi="仿宋_GB2312" w:cs="仿宋_GB2312" w:eastAsia="仿宋_GB2312"/>
                <w:sz w:val="20"/>
                <w:color w:val="000000"/>
              </w:rPr>
              <w:t>；</w:t>
            </w:r>
            <w:r>
              <w:rPr>
                <w:rFonts w:ascii="仿宋_GB2312" w:hAnsi="仿宋_GB2312" w:cs="仿宋_GB2312" w:eastAsia="仿宋_GB2312"/>
                <w:sz w:val="20"/>
                <w:color w:val="000000"/>
              </w:rPr>
              <w:t>6.</w:t>
            </w:r>
            <w:r>
              <w:rPr>
                <w:rFonts w:ascii="仿宋_GB2312" w:hAnsi="仿宋_GB2312" w:cs="仿宋_GB2312" w:eastAsia="仿宋_GB2312"/>
                <w:sz w:val="20"/>
                <w:color w:val="000000"/>
              </w:rPr>
              <w:t>历史数据</w:t>
            </w:r>
            <w:r>
              <w:rPr>
                <w:rFonts w:ascii="仿宋_GB2312" w:hAnsi="仿宋_GB2312" w:cs="仿宋_GB2312" w:eastAsia="仿宋_GB2312"/>
                <w:sz w:val="20"/>
                <w:color w:val="000000"/>
              </w:rPr>
              <w:t>；</w:t>
            </w:r>
            <w:r>
              <w:rPr>
                <w:rFonts w:ascii="仿宋_GB2312" w:hAnsi="仿宋_GB2312" w:cs="仿宋_GB2312" w:eastAsia="仿宋_GB2312"/>
                <w:sz w:val="20"/>
                <w:color w:val="000000"/>
              </w:rPr>
              <w:t>7.</w:t>
            </w:r>
            <w:r>
              <w:rPr>
                <w:rFonts w:ascii="仿宋_GB2312" w:hAnsi="仿宋_GB2312" w:cs="仿宋_GB2312" w:eastAsia="仿宋_GB2312"/>
                <w:sz w:val="20"/>
                <w:color w:val="000000"/>
              </w:rPr>
              <w:t>企业信息</w:t>
            </w:r>
            <w:r>
              <w:rPr>
                <w:rFonts w:ascii="仿宋_GB2312" w:hAnsi="仿宋_GB2312" w:cs="仿宋_GB2312" w:eastAsia="仿宋_GB2312"/>
                <w:sz w:val="20"/>
                <w:color w:val="000000"/>
              </w:rPr>
              <w:t>等。</w:t>
            </w:r>
          </w:p>
          <w:p>
            <w:pPr>
              <w:pStyle w:val="null3"/>
              <w:jc w:val="both"/>
              <w:outlineLvl w:val="3"/>
            </w:pPr>
            <w:r>
              <w:rPr>
                <w:rFonts w:ascii="仿宋_GB2312" w:hAnsi="仿宋_GB2312" w:cs="仿宋_GB2312" w:eastAsia="仿宋_GB2312"/>
                <w:sz w:val="20"/>
                <w:b/>
              </w:rPr>
              <w:t>（三）</w:t>
            </w:r>
            <w:r>
              <w:rPr>
                <w:rFonts w:ascii="仿宋_GB2312" w:hAnsi="仿宋_GB2312" w:cs="仿宋_GB2312" w:eastAsia="仿宋_GB2312"/>
                <w:sz w:val="20"/>
                <w:b/>
              </w:rPr>
              <w:t>饮食业油烟浓度在线监控仪</w:t>
            </w:r>
          </w:p>
          <w:p>
            <w:pPr>
              <w:pStyle w:val="null3"/>
              <w:ind w:firstLine="400"/>
              <w:jc w:val="both"/>
            </w:pPr>
            <w:r>
              <w:rPr>
                <w:rFonts w:ascii="仿宋_GB2312" w:hAnsi="仿宋_GB2312" w:cs="仿宋_GB2312" w:eastAsia="仿宋_GB2312"/>
                <w:sz w:val="20"/>
                <w:color w:val="000000"/>
              </w:rPr>
              <w:t>饮食业油烟浓度在线监控仪可</w:t>
            </w:r>
            <w:r>
              <w:rPr>
                <w:rFonts w:ascii="仿宋_GB2312" w:hAnsi="仿宋_GB2312" w:cs="仿宋_GB2312" w:eastAsia="仿宋_GB2312"/>
                <w:sz w:val="20"/>
                <w:color w:val="000000"/>
              </w:rPr>
              <w:t>24小时实时连续在线监测油烟排放浓度、油烟颗粒物浓度、非甲烷总烃浓度、油烟净化设备及排风机运行状态等参数，并将监测数据实时发送到餐饮油烟在线监控平台。</w:t>
            </w:r>
          </w:p>
          <w:p>
            <w:pPr>
              <w:pStyle w:val="null3"/>
              <w:ind w:firstLine="400"/>
              <w:jc w:val="both"/>
            </w:pPr>
            <w:r>
              <w:rPr>
                <w:rFonts w:ascii="仿宋_GB2312" w:hAnsi="仿宋_GB2312" w:cs="仿宋_GB2312" w:eastAsia="仿宋_GB2312"/>
                <w:sz w:val="20"/>
                <w:color w:val="000000"/>
              </w:rPr>
              <w:t xml:space="preserve">1. </w:t>
            </w:r>
            <w:r>
              <w:rPr>
                <w:rFonts w:ascii="仿宋_GB2312" w:hAnsi="仿宋_GB2312" w:cs="仿宋_GB2312" w:eastAsia="仿宋_GB2312"/>
                <w:sz w:val="20"/>
                <w:color w:val="000000"/>
              </w:rPr>
              <w:t>监测原理</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1）油烟浓度和颗粒物浓度采用粒子集合光散射法；</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2）非甲烷总烃浓度可采用金属氧化物半导体或电化学原理或PID传感器。</w:t>
            </w:r>
          </w:p>
          <w:p>
            <w:pPr>
              <w:pStyle w:val="null3"/>
              <w:ind w:firstLine="400"/>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远程传输</w:t>
            </w:r>
          </w:p>
          <w:p>
            <w:pPr>
              <w:pStyle w:val="null3"/>
              <w:ind w:firstLine="400"/>
              <w:jc w:val="both"/>
            </w:pPr>
            <w:r>
              <w:rPr>
                <w:rFonts w:ascii="仿宋_GB2312" w:hAnsi="仿宋_GB2312" w:cs="仿宋_GB2312" w:eastAsia="仿宋_GB2312"/>
                <w:sz w:val="20"/>
                <w:color w:val="000000"/>
              </w:rPr>
              <w:t>终端主机内置通讯功能，具有连续、及时、可靠地进行数据传输能力，具备实时数据发送、状态信息发送等功能。</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人机界面</w:t>
            </w:r>
          </w:p>
          <w:p>
            <w:pPr>
              <w:pStyle w:val="null3"/>
              <w:ind w:firstLine="400"/>
              <w:jc w:val="both"/>
            </w:pPr>
            <w:r>
              <w:rPr>
                <w:rFonts w:ascii="仿宋_GB2312" w:hAnsi="仿宋_GB2312" w:cs="仿宋_GB2312" w:eastAsia="仿宋_GB2312"/>
                <w:sz w:val="20"/>
                <w:color w:val="000000"/>
              </w:rPr>
              <w:t>带有显示屏，现场可实时显示油烟浓度、颗粒物浓度非甲烷总烃浓度、风机及净化器开关状态等监测数据；</w:t>
            </w:r>
          </w:p>
          <w:p>
            <w:pPr>
              <w:pStyle w:val="null3"/>
              <w:ind w:firstLine="400"/>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油烟浓度检测量程</w:t>
            </w:r>
            <w:r>
              <w:rPr>
                <w:rFonts w:ascii="仿宋_GB2312" w:hAnsi="仿宋_GB2312" w:cs="仿宋_GB2312" w:eastAsia="仿宋_GB2312"/>
                <w:sz w:val="20"/>
                <w:color w:val="000000"/>
              </w:rPr>
              <w:t>:0.01～100mg/m</w:t>
            </w:r>
            <w:r>
              <w:rPr>
                <w:rFonts w:ascii="仿宋_GB2312" w:hAnsi="仿宋_GB2312" w:cs="仿宋_GB2312" w:eastAsia="仿宋_GB2312"/>
                <w:sz w:val="20"/>
                <w:color w:val="000000"/>
                <w:vertAlign w:val="superscript"/>
              </w:rPr>
              <w:t>3</w:t>
            </w:r>
            <w:r>
              <w:rPr>
                <w:rFonts w:ascii="仿宋_GB2312" w:hAnsi="仿宋_GB2312" w:cs="仿宋_GB2312" w:eastAsia="仿宋_GB2312"/>
                <w:sz w:val="20"/>
                <w:color w:val="000000"/>
              </w:rPr>
              <w:t>。</w:t>
            </w:r>
          </w:p>
          <w:p>
            <w:pPr>
              <w:pStyle w:val="null3"/>
              <w:ind w:firstLine="400"/>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响应时间</w:t>
            </w:r>
            <w:r>
              <w:rPr>
                <w:rFonts w:ascii="仿宋_GB2312" w:hAnsi="仿宋_GB2312" w:cs="仿宋_GB2312" w:eastAsia="仿宋_GB2312"/>
                <w:sz w:val="20"/>
                <w:color w:val="000000"/>
              </w:rPr>
              <w:t>:≤1s。</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6.</w:t>
            </w:r>
            <w:r>
              <w:rPr>
                <w:rFonts w:ascii="仿宋_GB2312" w:hAnsi="仿宋_GB2312" w:cs="仿宋_GB2312" w:eastAsia="仿宋_GB2312"/>
                <w:sz w:val="20"/>
                <w:color w:val="000000"/>
              </w:rPr>
              <w:t>零点漂移：不超过</w:t>
            </w:r>
            <w:r>
              <w:rPr>
                <w:rFonts w:ascii="仿宋_GB2312" w:hAnsi="仿宋_GB2312" w:cs="仿宋_GB2312" w:eastAsia="仿宋_GB2312"/>
                <w:sz w:val="20"/>
                <w:color w:val="000000"/>
              </w:rPr>
              <w:t>±0.1mg/m</w:t>
            </w:r>
            <w:r>
              <w:rPr>
                <w:rFonts w:ascii="仿宋_GB2312" w:hAnsi="仿宋_GB2312" w:cs="仿宋_GB2312" w:eastAsia="仿宋_GB2312"/>
                <w:sz w:val="20"/>
                <w:color w:val="000000"/>
                <w:vertAlign w:val="superscript"/>
              </w:rPr>
              <w:t>3</w:t>
            </w:r>
            <w:r>
              <w:rPr>
                <w:rFonts w:ascii="仿宋_GB2312" w:hAnsi="仿宋_GB2312" w:cs="仿宋_GB2312" w:eastAsia="仿宋_GB2312"/>
                <w:sz w:val="20"/>
                <w:color w:val="000000"/>
              </w:rPr>
              <w:t>。</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7.</w:t>
            </w:r>
            <w:r>
              <w:rPr>
                <w:rFonts w:ascii="仿宋_GB2312" w:hAnsi="仿宋_GB2312" w:cs="仿宋_GB2312" w:eastAsia="仿宋_GB2312"/>
                <w:sz w:val="20"/>
                <w:color w:val="000000"/>
              </w:rPr>
              <w:t>示值误差</w:t>
            </w:r>
            <w:r>
              <w:rPr>
                <w:rFonts w:ascii="仿宋_GB2312" w:hAnsi="仿宋_GB2312" w:cs="仿宋_GB2312" w:eastAsia="仿宋_GB2312"/>
                <w:sz w:val="20"/>
                <w:color w:val="000000"/>
              </w:rPr>
              <w:t>:不超过±10%。</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8.</w:t>
            </w:r>
            <w:r>
              <w:rPr>
                <w:rFonts w:ascii="仿宋_GB2312" w:hAnsi="仿宋_GB2312" w:cs="仿宋_GB2312" w:eastAsia="仿宋_GB2312"/>
                <w:sz w:val="20"/>
                <w:color w:val="000000"/>
              </w:rPr>
              <w:t>线性误差</w:t>
            </w:r>
            <w:r>
              <w:rPr>
                <w:rFonts w:ascii="仿宋_GB2312" w:hAnsi="仿宋_GB2312" w:cs="仿宋_GB2312" w:eastAsia="仿宋_GB2312"/>
                <w:sz w:val="20"/>
                <w:color w:val="000000"/>
              </w:rPr>
              <w:t>:不超过±10%。</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9.</w:t>
            </w:r>
            <w:r>
              <w:rPr>
                <w:rFonts w:ascii="仿宋_GB2312" w:hAnsi="仿宋_GB2312" w:cs="仿宋_GB2312" w:eastAsia="仿宋_GB2312"/>
                <w:sz w:val="20"/>
                <w:color w:val="000000"/>
              </w:rPr>
              <w:t>重复性：</w:t>
            </w:r>
            <w:r>
              <w:rPr>
                <w:rFonts w:ascii="仿宋_GB2312" w:hAnsi="仿宋_GB2312" w:cs="仿宋_GB2312" w:eastAsia="仿宋_GB2312"/>
                <w:sz w:val="20"/>
                <w:color w:val="000000"/>
              </w:rPr>
              <w:t>≤5%。</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10.</w:t>
            </w:r>
            <w:r>
              <w:rPr>
                <w:rFonts w:ascii="仿宋_GB2312" w:hAnsi="仿宋_GB2312" w:cs="仿宋_GB2312" w:eastAsia="仿宋_GB2312"/>
                <w:sz w:val="20"/>
                <w:color w:val="000000"/>
              </w:rPr>
              <w:t>相关系数：</w:t>
            </w:r>
            <w:r>
              <w:rPr>
                <w:rFonts w:ascii="仿宋_GB2312" w:hAnsi="仿宋_GB2312" w:cs="仿宋_GB2312" w:eastAsia="仿宋_GB2312"/>
                <w:sz w:val="20"/>
                <w:color w:val="000000"/>
              </w:rPr>
              <w:t>≥0.95（与国标法做比对）。</w:t>
            </w:r>
          </w:p>
          <w:p>
            <w:pPr>
              <w:pStyle w:val="null3"/>
              <w:ind w:firstLine="400"/>
              <w:jc w:val="both"/>
            </w:pPr>
            <w:r>
              <w:rPr>
                <w:rFonts w:ascii="仿宋_GB2312" w:hAnsi="仿宋_GB2312" w:cs="仿宋_GB2312" w:eastAsia="仿宋_GB2312"/>
                <w:sz w:val="20"/>
                <w:color w:val="000000"/>
              </w:rPr>
              <w:t>11.</w:t>
            </w:r>
            <w:r>
              <w:rPr>
                <w:rFonts w:ascii="仿宋_GB2312" w:hAnsi="仿宋_GB2312" w:cs="仿宋_GB2312" w:eastAsia="仿宋_GB2312"/>
                <w:sz w:val="20"/>
                <w:color w:val="000000"/>
              </w:rPr>
              <w:t>开关量输入功能</w:t>
            </w:r>
            <w:r>
              <w:rPr>
                <w:rFonts w:ascii="仿宋_GB2312" w:hAnsi="仿宋_GB2312" w:cs="仿宋_GB2312" w:eastAsia="仿宋_GB2312"/>
                <w:sz w:val="20"/>
                <w:color w:val="000000"/>
              </w:rPr>
              <w:t>：</w:t>
            </w:r>
            <w:r>
              <w:rPr>
                <w:rFonts w:ascii="仿宋_GB2312" w:hAnsi="仿宋_GB2312" w:cs="仿宋_GB2312" w:eastAsia="仿宋_GB2312"/>
                <w:sz w:val="20"/>
                <w:color w:val="000000"/>
              </w:rPr>
              <w:t>2路开关量输入接口，可用于检测风机和净化器的开关状态。</w:t>
            </w:r>
          </w:p>
          <w:p>
            <w:pPr>
              <w:pStyle w:val="null3"/>
              <w:ind w:firstLine="400"/>
              <w:jc w:val="both"/>
            </w:pPr>
            <w:r>
              <w:rPr>
                <w:rFonts w:ascii="仿宋_GB2312" w:hAnsi="仿宋_GB2312" w:cs="仿宋_GB2312" w:eastAsia="仿宋_GB2312"/>
                <w:sz w:val="20"/>
                <w:color w:val="000000"/>
              </w:rPr>
              <w:t>12.</w:t>
            </w:r>
            <w:r>
              <w:rPr>
                <w:rFonts w:ascii="仿宋_GB2312" w:hAnsi="仿宋_GB2312" w:cs="仿宋_GB2312" w:eastAsia="仿宋_GB2312"/>
                <w:sz w:val="20"/>
                <w:color w:val="000000"/>
              </w:rPr>
              <w:t>数字接口（传输方式）：带有</w:t>
            </w:r>
            <w:r>
              <w:rPr>
                <w:rFonts w:ascii="仿宋_GB2312" w:hAnsi="仿宋_GB2312" w:cs="仿宋_GB2312" w:eastAsia="仿宋_GB2312"/>
                <w:sz w:val="20"/>
                <w:color w:val="000000"/>
              </w:rPr>
              <w:t>2G/3G/4G等无线通信接口，以及最少1路RS232接口、RS485接口。</w:t>
            </w:r>
          </w:p>
          <w:p>
            <w:pPr>
              <w:pStyle w:val="null3"/>
              <w:ind w:firstLine="400"/>
              <w:jc w:val="both"/>
            </w:pPr>
            <w:r>
              <w:rPr>
                <w:rFonts w:ascii="仿宋_GB2312" w:hAnsi="仿宋_GB2312" w:cs="仿宋_GB2312" w:eastAsia="仿宋_GB2312"/>
                <w:sz w:val="20"/>
                <w:color w:val="000000"/>
              </w:rPr>
              <w:t>13.</w:t>
            </w:r>
            <w:r>
              <w:rPr>
                <w:rFonts w:ascii="仿宋_GB2312" w:hAnsi="仿宋_GB2312" w:cs="仿宋_GB2312" w:eastAsia="仿宋_GB2312"/>
                <w:sz w:val="20"/>
                <w:color w:val="000000"/>
              </w:rPr>
              <w:t>模拟量输入功能：带有</w:t>
            </w:r>
            <w:r>
              <w:rPr>
                <w:rFonts w:ascii="仿宋_GB2312" w:hAnsi="仿宋_GB2312" w:cs="仿宋_GB2312" w:eastAsia="仿宋_GB2312"/>
                <w:sz w:val="20"/>
                <w:color w:val="000000"/>
              </w:rPr>
              <w:t>2路模拟量输入功能，可用于检测净化设备、风机工作电流。</w:t>
            </w:r>
          </w:p>
          <w:p>
            <w:pPr>
              <w:pStyle w:val="null3"/>
              <w:ind w:firstLine="400"/>
              <w:jc w:val="both"/>
            </w:pPr>
            <w:r>
              <w:rPr>
                <w:rFonts w:ascii="仿宋_GB2312" w:hAnsi="仿宋_GB2312" w:cs="仿宋_GB2312" w:eastAsia="仿宋_GB2312"/>
                <w:sz w:val="20"/>
                <w:color w:val="000000"/>
              </w:rPr>
              <w:t>14.</w:t>
            </w:r>
            <w:r>
              <w:rPr>
                <w:rFonts w:ascii="仿宋_GB2312" w:hAnsi="仿宋_GB2312" w:cs="仿宋_GB2312" w:eastAsia="仿宋_GB2312"/>
                <w:sz w:val="20"/>
                <w:color w:val="000000"/>
              </w:rPr>
              <w:t>断电复位：停电复位后，仪器能自动零点校准后进入工作状态。</w:t>
            </w:r>
          </w:p>
          <w:p>
            <w:pPr>
              <w:pStyle w:val="null3"/>
              <w:ind w:firstLine="400"/>
              <w:jc w:val="both"/>
            </w:pPr>
            <w:r>
              <w:rPr>
                <w:rFonts w:ascii="仿宋_GB2312" w:hAnsi="仿宋_GB2312" w:cs="仿宋_GB2312" w:eastAsia="仿宋_GB2312"/>
                <w:sz w:val="20"/>
                <w:color w:val="000000"/>
              </w:rPr>
              <w:t>15.</w:t>
            </w:r>
            <w:r>
              <w:rPr>
                <w:rFonts w:ascii="仿宋_GB2312" w:hAnsi="仿宋_GB2312" w:cs="仿宋_GB2312" w:eastAsia="仿宋_GB2312"/>
                <w:sz w:val="20"/>
                <w:color w:val="000000"/>
              </w:rPr>
              <w:t>数据采集：</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1）符合标准：符合HJ/T 212-2017《污染源在线监控（监测）系统数据传输标准》要求；</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2）无线通讯方式：可采用GSM/CDMA/3G/4G/5G等；</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3）数据包内容：油烟实时浓度1秒钟值、油烟颗粒物浓度1秒钟值、非甲烷总烃浓度1秒钟值、排风机和油烟净化设备开关状态、油烟净化设备和排风机运行状态；并预留数据位以保证后期扩展需求；</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4）数据采样间隔：1</w:t>
            </w:r>
            <w:r>
              <w:rPr>
                <w:rFonts w:ascii="仿宋_GB2312" w:hAnsi="仿宋_GB2312" w:cs="仿宋_GB2312" w:eastAsia="仿宋_GB2312"/>
                <w:sz w:val="20"/>
                <w:color w:val="000000"/>
              </w:rPr>
              <w:t>—</w:t>
            </w:r>
            <w:r>
              <w:rPr>
                <w:rFonts w:ascii="仿宋_GB2312" w:hAnsi="仿宋_GB2312" w:cs="仿宋_GB2312" w:eastAsia="仿宋_GB2312"/>
                <w:sz w:val="20"/>
                <w:color w:val="000000"/>
              </w:rPr>
              <w:t>60秒可设置；</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5）数据存储功能：信号不好时可自动存储数据，在网络通畅后自动补发；</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6）系统终端能保证存储原始数据，能够自动或根据指令将采集的数据发送到监控中心；</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7）接口：RS485接口、RS232接口、天线接口；</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8</w:t>
            </w:r>
            <w:r>
              <w:rPr>
                <w:rFonts w:ascii="仿宋_GB2312" w:hAnsi="仿宋_GB2312" w:cs="仿宋_GB2312" w:eastAsia="仿宋_GB2312"/>
                <w:sz w:val="20"/>
                <w:color w:val="000000"/>
              </w:rPr>
              <w:t>）模块配置丰富的接口，可满足用户多种功能需求；</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9</w:t>
            </w:r>
            <w:r>
              <w:rPr>
                <w:rFonts w:ascii="仿宋_GB2312" w:hAnsi="仿宋_GB2312" w:cs="仿宋_GB2312" w:eastAsia="仿宋_GB2312"/>
                <w:sz w:val="20"/>
                <w:color w:val="000000"/>
              </w:rPr>
              <w:t>）模拟量：</w:t>
            </w:r>
            <w:r>
              <w:rPr>
                <w:rFonts w:ascii="仿宋_GB2312" w:hAnsi="仿宋_GB2312" w:cs="仿宋_GB2312" w:eastAsia="仿宋_GB2312"/>
                <w:sz w:val="20"/>
                <w:color w:val="000000"/>
              </w:rPr>
              <w:t>2路模拟量输入接口（12位AD、支持4-20mA电流信号输入）；</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10</w:t>
            </w:r>
            <w:r>
              <w:rPr>
                <w:rFonts w:ascii="仿宋_GB2312" w:hAnsi="仿宋_GB2312" w:cs="仿宋_GB2312" w:eastAsia="仿宋_GB2312"/>
                <w:sz w:val="20"/>
                <w:color w:val="000000"/>
              </w:rPr>
              <w:t>）开关量：</w:t>
            </w:r>
            <w:r>
              <w:rPr>
                <w:rFonts w:ascii="仿宋_GB2312" w:hAnsi="仿宋_GB2312" w:cs="仿宋_GB2312" w:eastAsia="仿宋_GB2312"/>
                <w:sz w:val="20"/>
                <w:color w:val="000000"/>
              </w:rPr>
              <w:t>2路开关量输入接口、1路开关量输出接口。</w:t>
            </w:r>
          </w:p>
          <w:p>
            <w:pPr>
              <w:pStyle w:val="null3"/>
              <w:ind w:firstLine="402"/>
              <w:jc w:val="both"/>
            </w:pPr>
            <w:r>
              <w:rPr>
                <w:rFonts w:ascii="仿宋_GB2312" w:hAnsi="仿宋_GB2312" w:cs="仿宋_GB2312" w:eastAsia="仿宋_GB2312"/>
                <w:sz w:val="20"/>
                <w:b/>
                <w:color w:val="000000"/>
              </w:rPr>
              <w:t>三、</w:t>
            </w:r>
            <w:r>
              <w:rPr>
                <w:rFonts w:ascii="仿宋_GB2312" w:hAnsi="仿宋_GB2312" w:cs="仿宋_GB2312" w:eastAsia="仿宋_GB2312"/>
                <w:sz w:val="20"/>
                <w:b/>
                <w:color w:val="000000"/>
              </w:rPr>
              <w:t>服务要求</w:t>
            </w:r>
          </w:p>
          <w:p>
            <w:pPr>
              <w:pStyle w:val="null3"/>
              <w:ind w:firstLine="400"/>
              <w:jc w:val="both"/>
            </w:pPr>
            <w:r>
              <w:rPr>
                <w:rFonts w:ascii="仿宋_GB2312" w:hAnsi="仿宋_GB2312" w:cs="仿宋_GB2312" w:eastAsia="仿宋_GB2312"/>
                <w:sz w:val="20"/>
                <w:color w:val="000000"/>
              </w:rPr>
              <w:t>（一）</w:t>
            </w:r>
            <w:r>
              <w:rPr>
                <w:rFonts w:ascii="仿宋_GB2312" w:hAnsi="仿宋_GB2312" w:cs="仿宋_GB2312" w:eastAsia="仿宋_GB2312"/>
                <w:sz w:val="20"/>
                <w:color w:val="000000"/>
              </w:rPr>
              <w:t>西安市餐饮单位油烟在线监测</w:t>
            </w:r>
            <w:r>
              <w:rPr>
                <w:rFonts w:ascii="仿宋_GB2312" w:hAnsi="仿宋_GB2312" w:cs="仿宋_GB2312" w:eastAsia="仿宋_GB2312"/>
                <w:sz w:val="20"/>
                <w:color w:val="000000"/>
              </w:rPr>
              <w:t>平台应具备自主产权的服务系统平台；并且实时监测数据可以同时接入市城管执法局平台、市大数据局平台、市生态环境局平台。</w:t>
            </w:r>
          </w:p>
          <w:p>
            <w:pPr>
              <w:pStyle w:val="null3"/>
              <w:ind w:firstLine="400"/>
              <w:jc w:val="left"/>
            </w:pPr>
            <w:r>
              <w:rPr>
                <w:rFonts w:ascii="仿宋_GB2312" w:hAnsi="仿宋_GB2312" w:cs="仿宋_GB2312" w:eastAsia="仿宋_GB2312"/>
                <w:sz w:val="20"/>
                <w:color w:val="000000"/>
              </w:rPr>
              <w:t>（二）油烟在线监测设备数据服务应具备泵吸式高精度油烟在线监测设备，可监测油烟、颗粒物、非甲烷总烃浓度，油烟净化器和风机运行状态，包括安装、运营维护、定期校准、数据传输等。</w:t>
            </w:r>
            <w:r>
              <w:rPr>
                <w:rFonts w:ascii="仿宋_GB2312" w:hAnsi="仿宋_GB2312" w:cs="仿宋_GB2312" w:eastAsia="仿宋_GB2312"/>
                <w:sz w:val="20"/>
                <w:color w:val="000000"/>
              </w:rPr>
              <w:t>2025年12月底完成全市1000平米以上餐饮单位油烟在线监测的安装和联网工作。</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项目团队建立完善，岗位职责明确，人员充足，确保项目有序运行。</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采购人委托之日起至 2025年12月31日，具体以采购人确认的日期为准。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合同签订后甲方于2025年10月31日前</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项目验收合格无质量问题后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 xml:space="preserve"> 1、中标供应商在中标后，须向采购代理机构提供纸质版投标文件2套，且提供的投标文件必须与在陕西省政府采购综合管理平台的项目电子化交易系统中递交的电子投标文件内容一致，纸质版投标文件必须装订成册签字盖章。2、如采购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供应商主体</w:t>
            </w:r>
          </w:p>
        </w:tc>
        <w:tc>
          <w:tcPr>
            <w:tcW w:type="dxa" w:w="3322"/>
          </w:tcPr>
          <w:p>
            <w:pPr>
              <w:pStyle w:val="null3"/>
            </w:pPr>
            <w:r>
              <w:rPr>
                <w:rFonts w:ascii="仿宋_GB2312" w:hAnsi="仿宋_GB2312" w:cs="仿宋_GB2312" w:eastAsia="仿宋_GB2312"/>
              </w:rPr>
              <w:t>供应商为具有独立承担民事责任能力的法人、其他组织或自然人（提供合格有效的法人或者其他组织的营业执照、事业单位法人证等证明文件或自然人的身份证明）。</w:t>
            </w:r>
          </w:p>
        </w:tc>
        <w:tc>
          <w:tcPr>
            <w:tcW w:type="dxa" w:w="1661"/>
          </w:tcPr>
          <w:p>
            <w:pPr>
              <w:pStyle w:val="null3"/>
            </w:pPr>
            <w:r>
              <w:rPr>
                <w:rFonts w:ascii="仿宋_GB2312" w:hAnsi="仿宋_GB2312" w:cs="仿宋_GB2312" w:eastAsia="仿宋_GB2312"/>
              </w:rPr>
              <w:t>供应商的资格证明材料.docx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提供2023年度或2024年度经审计的财务会计报告（成立时间至提交投标文件截止时间不足一年的可提供成立后任意时段的资产负债表）； 或其递交投标文件截止之日前三个月内基本开户银行出具的资信证明（附《基本存款账户信息》或《银行开户许可证》复印件）。</w:t>
            </w:r>
          </w:p>
        </w:tc>
        <w:tc>
          <w:tcPr>
            <w:tcW w:type="dxa" w:w="1661"/>
          </w:tcPr>
          <w:p>
            <w:pPr>
              <w:pStyle w:val="null3"/>
            </w:pPr>
            <w:r>
              <w:rPr>
                <w:rFonts w:ascii="仿宋_GB2312" w:hAnsi="仿宋_GB2312" w:cs="仿宋_GB2312" w:eastAsia="仿宋_GB2312"/>
              </w:rPr>
              <w:t>供应商的资格证明材料.docx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提供投标截止时间前半年内任意一个月的纳税证明或完税证明，依法免税的单位应提供相关证明材料。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供应商的资格证明材料.docx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提供投标截止时间前半年内任意一个月的社会保障资金缴存单据或社保机构开具的社会保险参保缴费情况证明，依法不需要缴纳社会保障资金的单位应提供相关证明材料。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供应商的资格证明材料.docx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供应商的资格证明材料.docx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提供具有履行合同所必须的设备和专业技术能力的承诺函。</w:t>
            </w:r>
          </w:p>
        </w:tc>
        <w:tc>
          <w:tcPr>
            <w:tcW w:type="dxa" w:w="1661"/>
          </w:tcPr>
          <w:p>
            <w:pPr>
              <w:pStyle w:val="null3"/>
            </w:pPr>
            <w:r>
              <w:rPr>
                <w:rFonts w:ascii="仿宋_GB2312" w:hAnsi="仿宋_GB2312" w:cs="仿宋_GB2312" w:eastAsia="仿宋_GB2312"/>
              </w:rPr>
              <w:t>供应商的资格证明材料.docx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法定代表人授权书（或法定代表人证明书）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法定代表人授权委托书（附法定代表人身份证复印件及被授权人身份证复印件）；法定代表人直接参加投标只须提供法定代表人身份证明书（附法定代表人身份证复印件）。</w:t>
            </w:r>
          </w:p>
        </w:tc>
        <w:tc>
          <w:tcPr>
            <w:tcW w:type="dxa" w:w="1661"/>
          </w:tcPr>
          <w:p>
            <w:pPr>
              <w:pStyle w:val="null3"/>
            </w:pPr>
            <w:r>
              <w:rPr>
                <w:rFonts w:ascii="仿宋_GB2312" w:hAnsi="仿宋_GB2312" w:cs="仿宋_GB2312" w:eastAsia="仿宋_GB2312"/>
              </w:rPr>
              <w:t>供应商的资格证明材料.docx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供应商的资格证明材料.docx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被列入“信用中国”网站记录的“失信被执行人”和“重大税收违法失信主体”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供应商的资格证明材料.docx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投标人名称与营业执照一致</w:t>
            </w:r>
          </w:p>
        </w:tc>
        <w:tc>
          <w:tcPr>
            <w:tcW w:type="dxa" w:w="1661"/>
          </w:tcPr>
          <w:p>
            <w:pPr>
              <w:pStyle w:val="null3"/>
            </w:pPr>
            <w:r>
              <w:rPr>
                <w:rFonts w:ascii="仿宋_GB2312" w:hAnsi="仿宋_GB2312" w:cs="仿宋_GB2312" w:eastAsia="仿宋_GB2312"/>
              </w:rPr>
              <w:t>开标一览表 技术服务要求响应偏离表.docx 中小企业声明函 供应商的资格证明材料.docx 《拒绝政府采购领域商业贿赂承诺书》.docx 分项报价表.docx 投标函 残疾人福利性单位声明函 服务方案 标的清单 商务要求响应偏离表.docx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满足招标文件的签字盖章要求</w:t>
            </w:r>
          </w:p>
        </w:tc>
        <w:tc>
          <w:tcPr>
            <w:tcW w:type="dxa" w:w="1661"/>
          </w:tcPr>
          <w:p>
            <w:pPr>
              <w:pStyle w:val="null3"/>
            </w:pPr>
            <w:r>
              <w:rPr>
                <w:rFonts w:ascii="仿宋_GB2312" w:hAnsi="仿宋_GB2312" w:cs="仿宋_GB2312" w:eastAsia="仿宋_GB2312"/>
              </w:rPr>
              <w:t>开标一览表 技术服务要求响应偏离表.docx 中小企业声明函 供应商的资格证明材料.docx 《拒绝政府采购领域商业贿赂承诺书》.docx 分项报价表.docx 投标函 残疾人福利性单位声明函 服务方案 标的清单 商务要求响应偏离表.docx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技术服务要求响应偏离表.docx 商务要求响应偏离表.docx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供应商所投产品的技术参数完全满足招标文件“第三章 3.2.2 服务要求”中标注“▲”项参数要求得16分，有一项负偏离扣2分，扣完为止。（包括但不限于技术参数证明材料、产品彩页、检测报告、功能截图等技术支持性文件）</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技术服务要求响应偏离表.docx</w:t>
            </w:r>
          </w:p>
        </w:tc>
      </w:tr>
      <w:tr>
        <w:tc>
          <w:tcPr>
            <w:tcW w:type="dxa" w:w="831"/>
            <w:vMerge/>
          </w:tcPr>
          <w:p/>
        </w:tc>
        <w:tc>
          <w:tcPr>
            <w:tcW w:type="dxa" w:w="1661"/>
          </w:tcPr>
          <w:p>
            <w:pPr>
              <w:pStyle w:val="null3"/>
            </w:pPr>
            <w:r>
              <w:rPr>
                <w:rFonts w:ascii="仿宋_GB2312" w:hAnsi="仿宋_GB2312" w:cs="仿宋_GB2312" w:eastAsia="仿宋_GB2312"/>
              </w:rPr>
              <w:t>油烟系统数据集成设计方案</w:t>
            </w:r>
          </w:p>
        </w:tc>
        <w:tc>
          <w:tcPr>
            <w:tcW w:type="dxa" w:w="2492"/>
          </w:tcPr>
          <w:p>
            <w:pPr>
              <w:pStyle w:val="null3"/>
            </w:pPr>
            <w:r>
              <w:rPr>
                <w:rFonts w:ascii="仿宋_GB2312" w:hAnsi="仿宋_GB2312" w:cs="仿宋_GB2312" w:eastAsia="仿宋_GB2312"/>
              </w:rPr>
              <w:t>包括但不限于： 1.供应商所投设备监控仪如何与软件平台数据对接； 2.数据服务方案内容； 3.系统开发成果、功能界面设计等。 方案内容完整、针对性强，切实可行，得10分； 方案较合理、针对性较强，可行性较强，得7分； 方案简单、可行性一般，得4分；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项目管理及实施方案</w:t>
            </w:r>
          </w:p>
        </w:tc>
        <w:tc>
          <w:tcPr>
            <w:tcW w:type="dxa" w:w="2492"/>
          </w:tcPr>
          <w:p>
            <w:pPr>
              <w:pStyle w:val="null3"/>
            </w:pPr>
            <w:r>
              <w:rPr>
                <w:rFonts w:ascii="仿宋_GB2312" w:hAnsi="仿宋_GB2312" w:cs="仿宋_GB2312" w:eastAsia="仿宋_GB2312"/>
              </w:rPr>
              <w:t>包括但不限于： 1.系统安装调试； 2.系统测试及测试管理方案； 3.项目质量保障方案； 4.项目进度保障方案。 方案内容完整、针对性强，切实可行，得8分； 方案较合理、针对性较强，可行性较强，得5分； 方案简单、可行性一般，得2分；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运维服务方案</w:t>
            </w:r>
          </w:p>
        </w:tc>
        <w:tc>
          <w:tcPr>
            <w:tcW w:type="dxa" w:w="2492"/>
          </w:tcPr>
          <w:p>
            <w:pPr>
              <w:pStyle w:val="null3"/>
            </w:pPr>
            <w:r>
              <w:rPr>
                <w:rFonts w:ascii="仿宋_GB2312" w:hAnsi="仿宋_GB2312" w:cs="仿宋_GB2312" w:eastAsia="仿宋_GB2312"/>
              </w:rPr>
              <w:t>包括但不限于： 1.服务期内供应商提供的设备因产品质量、安装、维保等原因造成油烟、颗粒物、非甲烷总烃指标未达到环保标准时，供应商及时通知和反馈信息； 2.根据供应商在满足本项目技术指标要求的基础上提出更体现维护监督油烟整治成效性的措施。 方案内容完整、针对性强，切实可行，得9分； 方案较合理、针对性较强，可行性较强，得6分； 方案简单、可行性一般，得3分；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应急响应方案</w:t>
            </w:r>
          </w:p>
        </w:tc>
        <w:tc>
          <w:tcPr>
            <w:tcW w:type="dxa" w:w="2492"/>
          </w:tcPr>
          <w:p>
            <w:pPr>
              <w:pStyle w:val="null3"/>
            </w:pPr>
            <w:r>
              <w:rPr>
                <w:rFonts w:ascii="仿宋_GB2312" w:hAnsi="仿宋_GB2312" w:cs="仿宋_GB2312" w:eastAsia="仿宋_GB2312"/>
              </w:rPr>
              <w:t>包括但不限于： 1.接到故障通知后确保60分钟内赶赴现场（一般故障、重大故障相对应方案）； 2.上报信息安排； 3.对餐饮企业提出技术指导方案。 方案内容完整、针对性强，切实可行，得8分； 方案较合理、针对性较强，可行性较强，得5分； 方案简单、可行性一般，得2分；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1.能够提出餐饮油烟污染大型数据平台建设实施过程中存在的重点、难点分析，并提供有相应解决措施及方案计 6 分； 2.能够提出餐饮油烟污染大型数据平台建设实施过程中存在的重点、难点分析，缺少相应解决措施及方案计4 分； 3.重点、难点分析内容不详尽或不适用于本项目计 1 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服务能力</w:t>
            </w:r>
          </w:p>
        </w:tc>
        <w:tc>
          <w:tcPr>
            <w:tcW w:type="dxa" w:w="2492"/>
          </w:tcPr>
          <w:p>
            <w:pPr>
              <w:pStyle w:val="null3"/>
            </w:pPr>
            <w:r>
              <w:rPr>
                <w:rFonts w:ascii="仿宋_GB2312" w:hAnsi="仿宋_GB2312" w:cs="仿宋_GB2312" w:eastAsia="仿宋_GB2312"/>
              </w:rPr>
              <w:t>售后服务内容包括但不限于：①售后人员培训方案；②售后服务人员安排；③售后 服务响应时间与处理时间；④售后服务内容和操作流程；⑤售后服务方式；⑥售后服务保证措施。 售后服务内容完善、可行性高，得 9 分； 售后服务内容基本完善、基本可行，得6 分； 售后服务内容不完善、可行性低得 3分，未提供不计分。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 xml:space="preserve"> 拟投入本项目组人员须为投标单位在职人员，需提供本单位近三个月社保证明，否则不计分。 1.拟投入本项目人员 10 人（含）以上，人员安排具体、分工明确计 6 分； 2.拟投入本项目人员在 5 人（含）以上、10 人以下，人员安排具体、分工责任明确计 4 分； 3.拟投入本项目人员在 5 人以下，人员安排具体、分工责任明确计 2 分。 4.拟投入人员中每提供一个环境相关专业中级及以上职称人员得1 分，本项满分 10 分。 未提供不计分。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自2021年1月以来承接过类似项目的，每提供1个得2分，满分8分,未提供不计分。（电子响应文件中提供合同扫描件加盖供应商公章,时间、服务内容以合同为准。）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满足招标文件要求且报价最低的供应商的价格为评标基准价，其价格分为满分。其他供应商的价格分统一按照下列公式计算： 投标报价得分=（评标基准价/投标报价） ×价格权值×100 备注：当评标小组认为某个供应商的报价明显低于其他通过符合性审查供应商的报价，有可能影响服务质量和不能诚信履约的，应要求该供应商在评标现场合理的时间内提供书面说明，必要时提交相关证明材料；供应商不能证明其报价合理的，评标小组将其作为无效投标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详见附件：供应商的资格证明材料.docx</w:t>
      </w:r>
    </w:p>
    <w:p>
      <w:pPr>
        <w:pStyle w:val="null3"/>
        <w:ind w:firstLine="960"/>
      </w:pPr>
      <w:r>
        <w:rPr>
          <w:rFonts w:ascii="仿宋_GB2312" w:hAnsi="仿宋_GB2312" w:cs="仿宋_GB2312" w:eastAsia="仿宋_GB2312"/>
        </w:rPr>
        <w:t>详见附件：技术服务要求响应偏离表.docx</w:t>
      </w:r>
    </w:p>
    <w:p>
      <w:pPr>
        <w:pStyle w:val="null3"/>
        <w:ind w:firstLine="960"/>
      </w:pPr>
      <w:r>
        <w:rPr>
          <w:rFonts w:ascii="仿宋_GB2312" w:hAnsi="仿宋_GB2312" w:cs="仿宋_GB2312" w:eastAsia="仿宋_GB2312"/>
        </w:rPr>
        <w:t>详见附件：商务要求响应偏离表.docx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详见附件：合同上传.docx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