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版本号：ZJZBSX-250415-1082520250520001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西安市校园地震预警终端运维服务项目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ZJZBSX-250415-10825</w:t>
      </w:r>
      <w:r>
        <w:br/>
      </w:r>
      <w:r>
        <w:br/>
      </w:r>
      <w:r>
        <w:br/>
      </w:r>
    </w:p>
    <w:p>
      <w:pPr>
        <w:pStyle w:val="null3"/>
        <w:jc w:val="center"/>
        <w:outlineLvl w:val="2"/>
      </w:pPr>
      <w:r>
        <w:rPr>
          <w:rFonts w:ascii="仿宋_GB2312" w:hAnsi="仿宋_GB2312" w:cs="仿宋_GB2312" w:eastAsia="仿宋_GB2312"/>
          <w:sz w:val="28"/>
          <w:b/>
        </w:rPr>
        <w:t>西安市地震监测预警中心</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西安市地震监测预警中心</w:t>
      </w:r>
      <w:r>
        <w:rPr>
          <w:rFonts w:ascii="仿宋_GB2312" w:hAnsi="仿宋_GB2312" w:cs="仿宋_GB2312" w:eastAsia="仿宋_GB2312"/>
        </w:rPr>
        <w:t>委托，拟对</w:t>
      </w:r>
      <w:r>
        <w:rPr>
          <w:rFonts w:ascii="仿宋_GB2312" w:hAnsi="仿宋_GB2312" w:cs="仿宋_GB2312" w:eastAsia="仿宋_GB2312"/>
        </w:rPr>
        <w:t>西安市校园地震预警终端运维服务项目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ZJZBSX-250415-10825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西安市校园地震预警终端运维服务项目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西安市校园地震预警终端运维服务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采购包1（西安市校园地震预警终端运维服务）：属于专门面向中小企业采购。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5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5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证明资料：本项目专门面向中小企业采购，承接服务的供应商应为中型或小型或微型企业或监狱企业或残疾人福利性单位。承接服务的供应商为中型或小型或微型企业的，投标人提供《中小企业声明函》，且小微企业的划分标准所属行业为软件和信息技术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西安市地震监测预警中心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西安市地震监测预警中心王先生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代理服务费收费标准：收费标准参照中华人民共和国国家计划委员会计价格[2002]1980号文计算收取，不足伍千元按伍千元收取。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西安市地震监测预警中心</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西安市地震监测预警中心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西安市地震监测预警中心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西安市校园地震预警终端运维服务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305,600.00</w:t>
      </w:r>
    </w:p>
    <w:p>
      <w:pPr>
        <w:pStyle w:val="null3"/>
      </w:pPr>
      <w:r>
        <w:rPr>
          <w:rFonts w:ascii="仿宋_GB2312" w:hAnsi="仿宋_GB2312" w:cs="仿宋_GB2312" w:eastAsia="仿宋_GB2312"/>
        </w:rPr>
        <w:t>采购包最高限价（元）: 305,600.00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校园地震预警终端运维服务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标的名称：校园地震预警终端运维服务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项目简介</w:t>
            </w:r>
          </w:p>
          <w:p>
            <w:pPr>
              <w:pStyle w:val="null3"/>
            </w:pPr>
            <w:r>
              <w:rPr>
                <w:rFonts w:ascii="仿宋_GB2312" w:hAnsi="仿宋_GB2312" w:cs="仿宋_GB2312" w:eastAsia="仿宋_GB2312"/>
                <w:sz w:val="24"/>
              </w:rPr>
              <w:t>提供</w:t>
            </w:r>
            <w:r>
              <w:rPr>
                <w:rFonts w:ascii="仿宋_GB2312" w:hAnsi="仿宋_GB2312" w:cs="仿宋_GB2312" w:eastAsia="仿宋_GB2312"/>
                <w:sz w:val="24"/>
              </w:rPr>
              <w:t>西安市校园地震预警终端运维服务</w:t>
            </w:r>
            <w:r>
              <w:rPr>
                <w:rFonts w:ascii="仿宋_GB2312" w:hAnsi="仿宋_GB2312" w:cs="仿宋_GB2312" w:eastAsia="仿宋_GB2312"/>
                <w:sz w:val="24"/>
              </w:rPr>
              <w:t>，具体需运维的数量及终端信息如下：</w:t>
            </w:r>
          </w:p>
          <w:tbl>
            <w:tblPr>
              <w:tblBorders>
                <w:top w:val="none" w:color="000000" w:sz="4"/>
                <w:left w:val="none" w:color="000000" w:sz="4"/>
                <w:bottom w:val="none" w:color="000000" w:sz="4"/>
                <w:right w:val="none" w:color="000000" w:sz="4"/>
                <w:insideH w:val="none"/>
                <w:insideV w:val="none"/>
              </w:tblBorders>
            </w:tblPr>
            <w:tblGrid>
              <w:gridCol w:w="261"/>
              <w:gridCol w:w="443"/>
              <w:gridCol w:w="651"/>
              <w:gridCol w:w="287"/>
              <w:gridCol w:w="912"/>
            </w:tblGrid>
            <w:tr>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名称</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品牌型号</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c>
                <w:tcPr>
                  <w:tcW w:type="dxa" w:w="9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备注</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西安市校园地震预警终端运维服务</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美幻MH-T100</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415</w:t>
                  </w:r>
                  <w:r>
                    <w:rPr>
                      <w:rFonts w:ascii="仿宋_GB2312" w:hAnsi="仿宋_GB2312" w:cs="仿宋_GB2312" w:eastAsia="仿宋_GB2312"/>
                      <w:sz w:val="24"/>
                    </w:rPr>
                    <w:t>套</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每套含液晶终端一部，物联网广播终端一组</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443"/>
                  <w:vMerge/>
                  <w:tcBorders>
                    <w:top w:val="none" w:color="000000" w:sz="4"/>
                    <w:left w:val="non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帝嘉DG-MEA-32E</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r>
                    <w:rPr>
                      <w:rFonts w:ascii="仿宋_GB2312" w:hAnsi="仿宋_GB2312" w:cs="仿宋_GB2312" w:eastAsia="仿宋_GB2312"/>
                      <w:sz w:val="24"/>
                    </w:rPr>
                    <w:t>套</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每套含互动终端一台</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二</w:t>
            </w:r>
            <w:r>
              <w:rPr>
                <w:rFonts w:ascii="仿宋_GB2312" w:hAnsi="仿宋_GB2312" w:cs="仿宋_GB2312" w:eastAsia="仿宋_GB2312"/>
                <w:sz w:val="24"/>
                <w:b/>
              </w:rPr>
              <w:t>、具体运维内容要求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项目团队负责至少提供满一年的运维服务，服务期限自合同签订之日起算，服务期满一年后在新的项目团队未到位前不得擅自停止运维服务；服务期内提供</w:t>
            </w:r>
            <w:r>
              <w:rPr>
                <w:rFonts w:ascii="仿宋_GB2312" w:hAnsi="仿宋_GB2312" w:cs="仿宋_GB2312" w:eastAsia="仿宋_GB2312"/>
                <w:sz w:val="24"/>
              </w:rPr>
              <w:t>7x24</w:t>
            </w:r>
            <w:r>
              <w:rPr>
                <w:rFonts w:ascii="仿宋_GB2312" w:hAnsi="仿宋_GB2312" w:cs="仿宋_GB2312" w:eastAsia="仿宋_GB2312"/>
                <w:sz w:val="24"/>
              </w:rPr>
              <w:t>小时响应，并在</w:t>
            </w:r>
            <w:r>
              <w:rPr>
                <w:rFonts w:ascii="仿宋_GB2312" w:hAnsi="仿宋_GB2312" w:cs="仿宋_GB2312" w:eastAsia="仿宋_GB2312"/>
                <w:sz w:val="24"/>
              </w:rPr>
              <w:t>每次</w:t>
            </w:r>
            <w:r>
              <w:rPr>
                <w:rFonts w:ascii="仿宋_GB2312" w:hAnsi="仿宋_GB2312" w:cs="仿宋_GB2312" w:eastAsia="仿宋_GB2312"/>
                <w:sz w:val="24"/>
                <w:color w:val="000000"/>
              </w:rPr>
              <w:t>报修</w:t>
            </w:r>
            <w:r>
              <w:rPr>
                <w:rFonts w:ascii="仿宋_GB2312" w:hAnsi="仿宋_GB2312" w:cs="仿宋_GB2312" w:eastAsia="仿宋_GB2312"/>
                <w:sz w:val="24"/>
              </w:rPr>
              <w:t>后</w:t>
            </w:r>
            <w:r>
              <w:rPr>
                <w:rFonts w:ascii="仿宋_GB2312" w:hAnsi="仿宋_GB2312" w:cs="仿宋_GB2312" w:eastAsia="仿宋_GB2312"/>
                <w:sz w:val="24"/>
              </w:rPr>
              <w:t>24</w:t>
            </w:r>
            <w:r>
              <w:rPr>
                <w:rFonts w:ascii="仿宋_GB2312" w:hAnsi="仿宋_GB2312" w:cs="仿宋_GB2312" w:eastAsia="仿宋_GB2312"/>
                <w:sz w:val="24"/>
              </w:rPr>
              <w:t>小时内完成首次现场故障处置；服务期内设备终端的在线率不低于</w:t>
            </w:r>
            <w:r>
              <w:rPr>
                <w:rFonts w:ascii="仿宋_GB2312" w:hAnsi="仿宋_GB2312" w:cs="仿宋_GB2312" w:eastAsia="仿宋_GB2312"/>
                <w:sz w:val="24"/>
              </w:rPr>
              <w:t>96%</w:t>
            </w:r>
            <w:r>
              <w:rPr>
                <w:rFonts w:ascii="仿宋_GB2312" w:hAnsi="仿宋_GB2312" w:cs="仿宋_GB2312" w:eastAsia="仿宋_GB2312"/>
                <w:sz w:val="24"/>
              </w:rPr>
              <w:t>，涉及的物联网卡通讯费用全部由项目团队承担。</w:t>
            </w:r>
          </w:p>
          <w:p>
            <w:pPr>
              <w:pStyle w:val="null3"/>
            </w:pPr>
            <w:r>
              <w:rPr>
                <w:rFonts w:ascii="仿宋_GB2312" w:hAnsi="仿宋_GB2312" w:cs="仿宋_GB2312" w:eastAsia="仿宋_GB2312"/>
                <w:sz w:val="24"/>
              </w:rPr>
              <w:t>2.</w:t>
            </w:r>
            <w:r>
              <w:rPr>
                <w:rFonts w:ascii="仿宋_GB2312" w:hAnsi="仿宋_GB2312" w:cs="仿宋_GB2312" w:eastAsia="仿宋_GB2312"/>
                <w:sz w:val="24"/>
              </w:rPr>
              <w:t>项目团队需要建立专业的技术团队，根据甲方的需求及时提供软件更新及升级服务；按照甲方要求不断完善紧急信息发布终端的信息交换和发布的技术功能，升级服务完善终端；按照甲方的要求配合项目执行过程中的地震演习和演练工作。</w:t>
            </w:r>
          </w:p>
          <w:p>
            <w:pPr>
              <w:pStyle w:val="null3"/>
            </w:pPr>
            <w:r>
              <w:rPr>
                <w:rFonts w:ascii="仿宋_GB2312" w:hAnsi="仿宋_GB2312" w:cs="仿宋_GB2312" w:eastAsia="仿宋_GB2312"/>
                <w:sz w:val="24"/>
              </w:rPr>
              <w:t>3.</w:t>
            </w:r>
            <w:r>
              <w:rPr>
                <w:rFonts w:ascii="仿宋_GB2312" w:hAnsi="仿宋_GB2312" w:cs="仿宋_GB2312" w:eastAsia="仿宋_GB2312"/>
                <w:sz w:val="24"/>
              </w:rPr>
              <w:t>项目团队服务期限内为甲方提供终端设备的技术指导和运维服务，项目团队在接到甲方提出的技术服务要求后</w:t>
            </w:r>
            <w:r>
              <w:rPr>
                <w:rFonts w:ascii="仿宋_GB2312" w:hAnsi="仿宋_GB2312" w:cs="仿宋_GB2312" w:eastAsia="仿宋_GB2312"/>
                <w:sz w:val="24"/>
              </w:rPr>
              <w:t>2</w:t>
            </w:r>
            <w:r>
              <w:rPr>
                <w:rFonts w:ascii="仿宋_GB2312" w:hAnsi="仿宋_GB2312" w:cs="仿宋_GB2312" w:eastAsia="仿宋_GB2312"/>
                <w:sz w:val="24"/>
              </w:rPr>
              <w:t>小时内予以答复，如甲方有要求或必要时，项目团队应派</w:t>
            </w:r>
            <w:r>
              <w:rPr>
                <w:rFonts w:ascii="仿宋_GB2312" w:hAnsi="仿宋_GB2312" w:cs="仿宋_GB2312" w:eastAsia="仿宋_GB2312"/>
                <w:sz w:val="24"/>
              </w:rPr>
              <w:t>人</w:t>
            </w:r>
            <w:r>
              <w:rPr>
                <w:rFonts w:ascii="仿宋_GB2312" w:hAnsi="仿宋_GB2312" w:cs="仿宋_GB2312" w:eastAsia="仿宋_GB2312"/>
                <w:sz w:val="24"/>
              </w:rPr>
              <w:t>员到场予以指导。</w:t>
            </w:r>
          </w:p>
          <w:p>
            <w:pPr>
              <w:pStyle w:val="null3"/>
            </w:pPr>
            <w:r>
              <w:rPr>
                <w:rFonts w:ascii="仿宋_GB2312" w:hAnsi="仿宋_GB2312" w:cs="仿宋_GB2312" w:eastAsia="仿宋_GB2312"/>
                <w:sz w:val="24"/>
              </w:rPr>
              <w:t>4.</w:t>
            </w:r>
            <w:r>
              <w:rPr>
                <w:rFonts w:ascii="仿宋_GB2312" w:hAnsi="仿宋_GB2312" w:cs="仿宋_GB2312" w:eastAsia="仿宋_GB2312"/>
                <w:sz w:val="24"/>
              </w:rPr>
              <w:t>项目团队在接到甲方提出的技术服务要求或维修通知后</w:t>
            </w:r>
            <w:r>
              <w:rPr>
                <w:rFonts w:ascii="仿宋_GB2312" w:hAnsi="仿宋_GB2312" w:cs="仿宋_GB2312" w:eastAsia="仿宋_GB2312"/>
                <w:sz w:val="24"/>
              </w:rPr>
              <w:t>12</w:t>
            </w:r>
            <w:r>
              <w:rPr>
                <w:rFonts w:ascii="仿宋_GB2312" w:hAnsi="仿宋_GB2312" w:cs="仿宋_GB2312" w:eastAsia="仿宋_GB2312"/>
                <w:sz w:val="24"/>
              </w:rPr>
              <w:t>小时内没有响应或没有派</w:t>
            </w:r>
            <w:r>
              <w:rPr>
                <w:rFonts w:ascii="仿宋_GB2312" w:hAnsi="仿宋_GB2312" w:cs="仿宋_GB2312" w:eastAsia="仿宋_GB2312"/>
                <w:sz w:val="24"/>
              </w:rPr>
              <w:t>人</w:t>
            </w:r>
            <w:r>
              <w:rPr>
                <w:rFonts w:ascii="仿宋_GB2312" w:hAnsi="仿宋_GB2312" w:cs="仿宋_GB2312" w:eastAsia="仿宋_GB2312"/>
                <w:sz w:val="24"/>
              </w:rPr>
              <w:t>员提供技术服务或处理故障，甲方有权委托第三人对设备进行维修或提供技术服务，由此产生的一切费用由项目团队承担。</w:t>
            </w:r>
          </w:p>
          <w:p>
            <w:pPr>
              <w:pStyle w:val="null3"/>
            </w:pPr>
            <w:r>
              <w:rPr>
                <w:rFonts w:ascii="仿宋_GB2312" w:hAnsi="仿宋_GB2312" w:cs="仿宋_GB2312" w:eastAsia="仿宋_GB2312"/>
                <w:sz w:val="24"/>
              </w:rPr>
              <w:t>5.</w:t>
            </w:r>
            <w:r>
              <w:rPr>
                <w:rFonts w:ascii="仿宋_GB2312" w:hAnsi="仿宋_GB2312" w:cs="仿宋_GB2312" w:eastAsia="仿宋_GB2312"/>
                <w:sz w:val="24"/>
              </w:rPr>
              <w:t>项目团队在接到甲方维修通知后</w:t>
            </w:r>
            <w:r>
              <w:rPr>
                <w:rFonts w:ascii="仿宋_GB2312" w:hAnsi="仿宋_GB2312" w:cs="仿宋_GB2312" w:eastAsia="仿宋_GB2312"/>
                <w:sz w:val="24"/>
              </w:rPr>
              <w:t>72</w:t>
            </w:r>
            <w:r>
              <w:rPr>
                <w:rFonts w:ascii="仿宋_GB2312" w:hAnsi="仿宋_GB2312" w:cs="仿宋_GB2312" w:eastAsia="仿宋_GB2312"/>
                <w:sz w:val="24"/>
              </w:rPr>
              <w:t>小时仍不能修复有关设备，或者确需长期维修的设备，项目团队应提供与该设备同一型号的备用设备。如因此给甲方造成损失，项目团队应负责赔偿。</w:t>
            </w:r>
          </w:p>
          <w:p>
            <w:pPr>
              <w:pStyle w:val="null3"/>
            </w:pPr>
            <w:r>
              <w:rPr>
                <w:rFonts w:ascii="仿宋_GB2312" w:hAnsi="仿宋_GB2312" w:cs="仿宋_GB2312" w:eastAsia="仿宋_GB2312"/>
                <w:sz w:val="24"/>
              </w:rPr>
              <w:t>6.</w:t>
            </w:r>
            <w:r>
              <w:rPr>
                <w:rFonts w:ascii="仿宋_GB2312" w:hAnsi="仿宋_GB2312" w:cs="仿宋_GB2312" w:eastAsia="仿宋_GB2312"/>
                <w:sz w:val="24"/>
              </w:rPr>
              <w:t>项目团队需在甲方单位长期派驻至少一名工作人员，以便于加强沟通联络，及时处置各类故障。驻场人员每日登录管理平台进行设备在线巡检，离线终端安排运维团队进行设备检修。</w:t>
            </w:r>
          </w:p>
          <w:p>
            <w:pPr>
              <w:pStyle w:val="null3"/>
            </w:pPr>
            <w:r>
              <w:rPr>
                <w:rFonts w:ascii="仿宋_GB2312" w:hAnsi="仿宋_GB2312" w:cs="仿宋_GB2312" w:eastAsia="仿宋_GB2312"/>
                <w:sz w:val="24"/>
              </w:rPr>
              <w:t>7.</w:t>
            </w:r>
            <w:r>
              <w:rPr>
                <w:rFonts w:ascii="仿宋_GB2312" w:hAnsi="仿宋_GB2312" w:cs="仿宋_GB2312" w:eastAsia="仿宋_GB2312"/>
                <w:sz w:val="24"/>
              </w:rPr>
              <w:t>项目团队应建立终端巡检日志和运维台账，期满出具详细的运维报告。在项目实施周期内至少完成一次所有终端的巡检，及时处理发现的安全隐患。</w:t>
            </w:r>
          </w:p>
          <w:p>
            <w:pPr>
              <w:pStyle w:val="null3"/>
            </w:pPr>
            <w:r>
              <w:rPr>
                <w:rFonts w:ascii="仿宋_GB2312" w:hAnsi="仿宋_GB2312" w:cs="仿宋_GB2312" w:eastAsia="仿宋_GB2312"/>
                <w:sz w:val="24"/>
              </w:rPr>
              <w:t>8.</w:t>
            </w:r>
            <w:r>
              <w:rPr>
                <w:rFonts w:ascii="仿宋_GB2312" w:hAnsi="仿宋_GB2312" w:cs="仿宋_GB2312" w:eastAsia="仿宋_GB2312"/>
                <w:sz w:val="24"/>
              </w:rPr>
              <w:t>做好预警终端管理平台、预警终端等方面的网络安全风险防范，及时查补网络安全漏洞，做好网络安全突发事件应急处置，重要情况及时向甲方通报。</w:t>
            </w:r>
          </w:p>
          <w:p>
            <w:pPr>
              <w:pStyle w:val="null3"/>
            </w:pPr>
            <w:r>
              <w:rPr>
                <w:rFonts w:ascii="仿宋_GB2312" w:hAnsi="仿宋_GB2312" w:cs="仿宋_GB2312" w:eastAsia="仿宋_GB2312"/>
                <w:sz w:val="24"/>
              </w:rPr>
              <w:t>9.</w:t>
            </w:r>
            <w:r>
              <w:rPr>
                <w:rFonts w:ascii="仿宋_GB2312" w:hAnsi="仿宋_GB2312" w:cs="仿宋_GB2312" w:eastAsia="仿宋_GB2312"/>
                <w:sz w:val="24"/>
              </w:rPr>
              <w:t>科普互动终端应每半年投放一次互动奖品，每台终端奖品总数量不低于</w:t>
            </w:r>
            <w:r>
              <w:rPr>
                <w:rFonts w:ascii="仿宋_GB2312" w:hAnsi="仿宋_GB2312" w:cs="仿宋_GB2312" w:eastAsia="仿宋_GB2312"/>
                <w:sz w:val="24"/>
              </w:rPr>
              <w:t>500</w:t>
            </w:r>
            <w:r>
              <w:rPr>
                <w:rFonts w:ascii="仿宋_GB2312" w:hAnsi="仿宋_GB2312" w:cs="仿宋_GB2312" w:eastAsia="仿宋_GB2312"/>
                <w:sz w:val="24"/>
              </w:rPr>
              <w:t>份，包括但不限于防震减灾科普常识宣传资料、益智玩具等</w:t>
            </w:r>
            <w:r>
              <w:rPr>
                <w:rFonts w:ascii="仿宋_GB2312" w:hAnsi="仿宋_GB2312" w:cs="仿宋_GB2312" w:eastAsia="仿宋_GB2312"/>
                <w:sz w:val="24"/>
              </w:rPr>
              <w:t>,</w:t>
            </w:r>
            <w:r>
              <w:rPr>
                <w:rFonts w:ascii="仿宋_GB2312" w:hAnsi="仿宋_GB2312" w:cs="仿宋_GB2312" w:eastAsia="仿宋_GB2312"/>
                <w:sz w:val="24"/>
              </w:rPr>
              <w:t>互动奖品要结合西安本地特色进行本土化改造升级。</w:t>
            </w:r>
          </w:p>
          <w:p>
            <w:pPr>
              <w:pStyle w:val="null3"/>
            </w:pPr>
            <w:r>
              <w:rPr>
                <w:rFonts w:ascii="仿宋_GB2312" w:hAnsi="仿宋_GB2312" w:cs="仿宋_GB2312" w:eastAsia="仿宋_GB2312"/>
                <w:sz w:val="24"/>
              </w:rPr>
              <w:t>10.</w:t>
            </w:r>
            <w:r>
              <w:rPr>
                <w:rFonts w:ascii="仿宋_GB2312" w:hAnsi="仿宋_GB2312" w:cs="仿宋_GB2312" w:eastAsia="仿宋_GB2312"/>
                <w:sz w:val="24"/>
              </w:rPr>
              <w:t>项目负责人及团队人员应具有国家相关部门承认的从事系统软件开发运维和电子设备维修相关证明材料；项目团队应具有相关地震预警终端和管理系统的运维成功案例。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自合同签订之日起1年，服务期满1年后在新的项目团队未到位前不得擅自停止运维服务。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合同签订后，成交单位提供正式发票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8013；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2024年11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5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5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证明资料：本项目专门面向中小企业采购，承接服务的供应商应为中型或小型或微型企业或监狱企业或残疾人福利性单位。承接服务的供应商为中型或小型或微型企业的，投标人提供《中小企业声明函》，且小微企业的划分标准所属行业为软件和信息技术服务业；承接服务的供应商为监狱企业的，投标人应提供承接服务的供应商为监狱企业的证明文件（监狱企业视同小型、微型企业）；承接服务的供应商为残疾人福利性单位的，投标人应提供承接服务的供应商为残疾人福利性单位的《残疾人福利性单位声明函》（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根据项目实际情况及服务内容要求提供服务实施方案，至少包含：①确保及时完成现场故障处置方案；②确保设备终端的在线率符合要求的方案；③软件更新及升级方案；④完善紧急信息发布终端的信息交换和发布的技术功能以及升级服务完善终端方案；⑤终端设备的技术指导和运维服务方案；以上方案每提供一项根据详细程度及是否贴合本项目要求计0.1-5分，最多25分，未提供不计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1.服务实施方案.docx</w:t>
            </w:r>
          </w:p>
          <w:p>
            <w:pPr>
              <w:pStyle w:val="null3"/>
            </w:pPr>
            <w:r>
              <w:rPr>
                <w:rFonts w:ascii="仿宋_GB2312" w:hAnsi="仿宋_GB2312" w:cs="仿宋_GB2312" w:eastAsia="仿宋_GB2312"/>
              </w:rPr>
              <w:t>4.服务内容响应表.docx</w:t>
            </w:r>
          </w:p>
        </w:tc>
      </w:tr>
      <w:tr>
        <w:tc>
          <w:tcPr>
            <w:tcW w:type="dxa" w:w="831"/>
            <w:vMerge/>
          </w:tcPr>
          <w:p/>
        </w:tc>
        <w:tc>
          <w:tcPr>
            <w:tcW w:type="dxa" w:w="1661"/>
          </w:tcPr>
          <w:p>
            <w:pPr>
              <w:pStyle w:val="null3"/>
            </w:pPr>
            <w:r>
              <w:rPr>
                <w:rFonts w:ascii="仿宋_GB2312" w:hAnsi="仿宋_GB2312" w:cs="仿宋_GB2312" w:eastAsia="仿宋_GB2312"/>
              </w:rPr>
              <w:t>驻场人员</w:t>
            </w:r>
          </w:p>
        </w:tc>
        <w:tc>
          <w:tcPr>
            <w:tcW w:type="dxa" w:w="2492"/>
          </w:tcPr>
          <w:p>
            <w:pPr>
              <w:pStyle w:val="null3"/>
            </w:pPr>
            <w:r>
              <w:rPr>
                <w:rFonts w:ascii="仿宋_GB2312" w:hAnsi="仿宋_GB2312" w:cs="仿宋_GB2312" w:eastAsia="仿宋_GB2312"/>
              </w:rPr>
              <w:t>根据项目实际情况及服务内容要求提供驻场人员安排，内容至少包含：①驻场人员信息；②驻场人员工作职责；③驻场人员日常管理；④驻场人员更换制度；以上方案每提供一项根据详细程度及是否贴合本项目要求计0.1-2分，最多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2.驻场人员.docx</w:t>
            </w:r>
          </w:p>
        </w:tc>
      </w:tr>
      <w:tr>
        <w:tc>
          <w:tcPr>
            <w:tcW w:type="dxa" w:w="831"/>
            <w:vMerge/>
          </w:tcPr>
          <w:p/>
        </w:tc>
        <w:tc>
          <w:tcPr>
            <w:tcW w:type="dxa" w:w="1661"/>
          </w:tcPr>
          <w:p>
            <w:pPr>
              <w:pStyle w:val="null3"/>
            </w:pPr>
            <w:r>
              <w:rPr>
                <w:rFonts w:ascii="仿宋_GB2312" w:hAnsi="仿宋_GB2312" w:cs="仿宋_GB2312" w:eastAsia="仿宋_GB2312"/>
              </w:rPr>
              <w:t>终端巡检日志、运维台账、运维报告</w:t>
            </w:r>
          </w:p>
        </w:tc>
        <w:tc>
          <w:tcPr>
            <w:tcW w:type="dxa" w:w="2492"/>
          </w:tcPr>
          <w:p>
            <w:pPr>
              <w:pStyle w:val="null3"/>
            </w:pPr>
            <w:r>
              <w:rPr>
                <w:rFonts w:ascii="仿宋_GB2312" w:hAnsi="仿宋_GB2312" w:cs="仿宋_GB2312" w:eastAsia="仿宋_GB2312"/>
              </w:rPr>
              <w:t>根据项目实际情况及服务内容要求提供拟开展工作思路或提纲：①终端巡检日志；②运维台账；③运维报告。以上方案每提供一项根据详细程度及是否贴合本项目要求计0.1-5分，最多15分，未提供不计分。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3.终端巡检日志、运维台账、运维报告.docx</w:t>
            </w:r>
          </w:p>
        </w:tc>
      </w:tr>
      <w:tr>
        <w:tc>
          <w:tcPr>
            <w:tcW w:type="dxa" w:w="831"/>
            <w:vMerge/>
          </w:tcPr>
          <w:p/>
        </w:tc>
        <w:tc>
          <w:tcPr>
            <w:tcW w:type="dxa" w:w="1661"/>
          </w:tcPr>
          <w:p>
            <w:pPr>
              <w:pStyle w:val="null3"/>
            </w:pPr>
            <w:r>
              <w:rPr>
                <w:rFonts w:ascii="仿宋_GB2312" w:hAnsi="仿宋_GB2312" w:cs="仿宋_GB2312" w:eastAsia="仿宋_GB2312"/>
              </w:rPr>
              <w:t>网络安全风险防范</w:t>
            </w:r>
          </w:p>
        </w:tc>
        <w:tc>
          <w:tcPr>
            <w:tcW w:type="dxa" w:w="2492"/>
          </w:tcPr>
          <w:p>
            <w:pPr>
              <w:pStyle w:val="null3"/>
            </w:pPr>
            <w:r>
              <w:rPr>
                <w:rFonts w:ascii="仿宋_GB2312" w:hAnsi="仿宋_GB2312" w:cs="仿宋_GB2312" w:eastAsia="仿宋_GB2312"/>
              </w:rPr>
              <w:t>根据项目实际情况及服务内容要求提供预警终端管理平台、预警终端等方面的网络安全风险防范，至少包含：①风险防范及查补漏洞的方案；②网络安全突发事件应急处置措施。以上方案每提供一项根据详细程度及是否贴合本项目要求计0.1-5分，最多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4.网络安全风险防范.docx</w:t>
            </w:r>
          </w:p>
        </w:tc>
      </w:tr>
      <w:tr>
        <w:tc>
          <w:tcPr>
            <w:tcW w:type="dxa" w:w="831"/>
            <w:vMerge/>
          </w:tcPr>
          <w:p/>
        </w:tc>
        <w:tc>
          <w:tcPr>
            <w:tcW w:type="dxa" w:w="1661"/>
          </w:tcPr>
          <w:p>
            <w:pPr>
              <w:pStyle w:val="null3"/>
            </w:pPr>
            <w:r>
              <w:rPr>
                <w:rFonts w:ascii="仿宋_GB2312" w:hAnsi="仿宋_GB2312" w:cs="仿宋_GB2312" w:eastAsia="仿宋_GB2312"/>
              </w:rPr>
              <w:t>互动奖品</w:t>
            </w:r>
          </w:p>
        </w:tc>
        <w:tc>
          <w:tcPr>
            <w:tcW w:type="dxa" w:w="2492"/>
          </w:tcPr>
          <w:p>
            <w:pPr>
              <w:pStyle w:val="null3"/>
            </w:pPr>
            <w:r>
              <w:rPr>
                <w:rFonts w:ascii="仿宋_GB2312" w:hAnsi="仿宋_GB2312" w:cs="仿宋_GB2312" w:eastAsia="仿宋_GB2312"/>
              </w:rPr>
              <w:t>根据服务内容要求提供科普互动终端互动奖品投放方案，至少包含：①奖品数量及投放次数；②拟投放奖品的种类等。以上方案每提供一项根据详细程度及是否贴合本项目要求计0.1-3分，最多6分，未提供不计分。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5.互动奖品.docx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及团队人员具有国家相关部门承认的从事系统软件开发运维和电子设备维修相关证明材料，每提供一个计2分，最多得6分，项目组成员应为本单位在职员工，提供近6个月任意一个月本单位为其缴纳的社保证明或劳务合同； 2.提供团队人员配备清单计1分，清单能够列明人员信息、岗位职责、本行业工作年限、本单位为其缴纳近6个月任意一个月社保缴纳证明或劳务合同，每提供1位成员且信息完整计1分，最高计3分，此项满分4分。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6.项目团队.docx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1.承诺按采购单位的运维响应时间要求提供服务，提供相关承诺计1分，未提供不计分。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供应商提供2022年至今承接的类似运维案例（仅限供应商自己实施的），提供合同复印件，每个案例计2分，最高不超过10分。以合同签订时间为准。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详见附件：1.服务实施方案.docx</w:t>
      </w:r>
    </w:p>
    <w:p>
      <w:pPr>
        <w:pStyle w:val="null3"/>
        <w:ind w:firstLine="960"/>
      </w:pPr>
      <w:r>
        <w:rPr>
          <w:rFonts w:ascii="仿宋_GB2312" w:hAnsi="仿宋_GB2312" w:cs="仿宋_GB2312" w:eastAsia="仿宋_GB2312"/>
        </w:rPr>
        <w:t>详见附件：2.驻场人员.docx</w:t>
      </w:r>
    </w:p>
    <w:p>
      <w:pPr>
        <w:pStyle w:val="null3"/>
        <w:ind w:firstLine="960"/>
      </w:pPr>
      <w:r>
        <w:rPr>
          <w:rFonts w:ascii="仿宋_GB2312" w:hAnsi="仿宋_GB2312" w:cs="仿宋_GB2312" w:eastAsia="仿宋_GB2312"/>
        </w:rPr>
        <w:t>详见附件：3.终端巡检日志、运维台账、运维报告.docx</w:t>
      </w:r>
    </w:p>
    <w:p>
      <w:pPr>
        <w:pStyle w:val="null3"/>
        <w:ind w:firstLine="960"/>
      </w:pPr>
      <w:r>
        <w:rPr>
          <w:rFonts w:ascii="仿宋_GB2312" w:hAnsi="仿宋_GB2312" w:cs="仿宋_GB2312" w:eastAsia="仿宋_GB2312"/>
        </w:rPr>
        <w:t>详见附件：4.网络安全风险防范.docx</w:t>
      </w:r>
    </w:p>
    <w:p>
      <w:pPr>
        <w:pStyle w:val="null3"/>
        <w:ind w:firstLine="960"/>
      </w:pPr>
      <w:r>
        <w:rPr>
          <w:rFonts w:ascii="仿宋_GB2312" w:hAnsi="仿宋_GB2312" w:cs="仿宋_GB2312" w:eastAsia="仿宋_GB2312"/>
        </w:rPr>
        <w:t>详见附件：5.互动奖品.docx</w:t>
      </w:r>
    </w:p>
    <w:p>
      <w:pPr>
        <w:pStyle w:val="null3"/>
        <w:ind w:firstLine="960"/>
      </w:pPr>
      <w:r>
        <w:rPr>
          <w:rFonts w:ascii="仿宋_GB2312" w:hAnsi="仿宋_GB2312" w:cs="仿宋_GB2312" w:eastAsia="仿宋_GB2312"/>
        </w:rPr>
        <w:t>详见附件：6.项目团队.docx</w:t>
      </w:r>
    </w:p>
    <w:p>
      <w:pPr>
        <w:pStyle w:val="null3"/>
        <w:ind w:firstLine="960"/>
      </w:pPr>
      <w:r>
        <w:rPr>
          <w:rFonts w:ascii="仿宋_GB2312" w:hAnsi="仿宋_GB2312" w:cs="仿宋_GB2312" w:eastAsia="仿宋_GB2312"/>
        </w:rPr>
        <w:t>详见附件：7.服务承诺.docx</w:t>
      </w:r>
    </w:p>
    <w:p>
      <w:pPr>
        <w:pStyle w:val="null3"/>
        <w:ind w:firstLine="960"/>
      </w:pPr>
      <w:r>
        <w:rPr>
          <w:rFonts w:ascii="仿宋_GB2312" w:hAnsi="仿宋_GB2312" w:cs="仿宋_GB2312" w:eastAsia="仿宋_GB2312"/>
        </w:rPr>
        <w:t>详见附件：8.业绩.docx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