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49E5C">
      <w:pPr>
        <w:spacing w:line="360" w:lineRule="auto"/>
        <w:jc w:val="center"/>
        <w:rPr>
          <w:rFonts w:ascii="宋体" w:hAnsi="宋体" w:cs="仿宋_GB2312"/>
          <w:b/>
          <w:sz w:val="24"/>
          <w:szCs w:val="24"/>
        </w:rPr>
      </w:pPr>
      <w:r>
        <w:rPr>
          <w:rFonts w:hint="eastAsia" w:ascii="宋体" w:hAnsi="宋体" w:cs="仿宋_GB2312"/>
          <w:b/>
          <w:sz w:val="24"/>
          <w:szCs w:val="24"/>
        </w:rPr>
        <w:t>（本合同为样稿，部分内容可根据成交供应商响应文件响应由双方协商后确定，具体事项以合同签订为准。）</w:t>
      </w:r>
    </w:p>
    <w:p w14:paraId="1D76450C">
      <w:pPr>
        <w:snapToGrid w:val="0"/>
        <w:spacing w:line="360" w:lineRule="auto"/>
        <w:ind w:firstLine="440" w:firstLineChars="200"/>
        <w:rPr>
          <w:rStyle w:val="11"/>
          <w:rFonts w:ascii="宋体" w:hAnsi="宋体"/>
          <w:szCs w:val="21"/>
        </w:rPr>
      </w:pPr>
      <w:r>
        <w:rPr>
          <w:rStyle w:val="11"/>
          <w:rFonts w:hint="eastAsia" w:ascii="宋体" w:hAnsi="宋体"/>
          <w:szCs w:val="21"/>
          <w:u w:val="single" w:color="000000"/>
          <w:lang w:val="en-US" w:eastAsia="zh-CN"/>
        </w:rPr>
        <w:t>辅警健康体检</w:t>
      </w:r>
      <w:r>
        <w:rPr>
          <w:rStyle w:val="11"/>
          <w:rFonts w:ascii="宋体" w:hAnsi="宋体"/>
          <w:szCs w:val="21"/>
          <w:u w:val="single" w:color="000000"/>
        </w:rPr>
        <w:t xml:space="preserve"> (项目编号：</w:t>
      </w:r>
      <w:r>
        <w:rPr>
          <w:rStyle w:val="11"/>
          <w:rFonts w:hint="eastAsia" w:ascii="宋体" w:hAnsi="宋体"/>
          <w:szCs w:val="21"/>
          <w:u w:val="single" w:color="000000"/>
        </w:rPr>
        <w:t>LZBE2025-795</w:t>
      </w:r>
      <w:r>
        <w:rPr>
          <w:rStyle w:val="11"/>
          <w:rFonts w:ascii="宋体" w:hAnsi="宋体"/>
          <w:szCs w:val="21"/>
          <w:u w:val="single" w:color="000000"/>
        </w:rPr>
        <w:t>)</w:t>
      </w:r>
      <w:r>
        <w:rPr>
          <w:rStyle w:val="11"/>
          <w:rFonts w:ascii="宋体" w:hAnsi="宋体"/>
          <w:szCs w:val="21"/>
        </w:rPr>
        <w:t>由</w:t>
      </w:r>
      <w:r>
        <w:rPr>
          <w:rStyle w:val="11"/>
          <w:rFonts w:hint="eastAsia" w:ascii="宋体" w:hAnsi="宋体"/>
          <w:szCs w:val="21"/>
        </w:rPr>
        <w:t>龙寰项目管理咨询有限公司</w:t>
      </w:r>
      <w:r>
        <w:rPr>
          <w:rStyle w:val="11"/>
          <w:rFonts w:ascii="宋体" w:hAnsi="宋体"/>
          <w:szCs w:val="21"/>
        </w:rPr>
        <w:t>组织竞争性磋商，</w:t>
      </w:r>
      <w:r>
        <w:rPr>
          <w:rStyle w:val="11"/>
          <w:rFonts w:hint="eastAsia"/>
          <w:szCs w:val="21"/>
          <w:u w:val="single"/>
          <w:lang w:eastAsia="zh-CN"/>
        </w:rPr>
        <w:t>西安市公安局交通管理支队</w:t>
      </w:r>
      <w:r>
        <w:rPr>
          <w:rStyle w:val="11"/>
          <w:rFonts w:ascii="宋体" w:hAnsi="宋体"/>
          <w:szCs w:val="21"/>
        </w:rPr>
        <w:t>(以下简称“甲方”)确定</w:t>
      </w:r>
      <w:r>
        <w:rPr>
          <w:rStyle w:val="11"/>
          <w:rFonts w:ascii="宋体" w:hAnsi="宋体"/>
          <w:szCs w:val="21"/>
          <w:u w:val="single" w:color="000000"/>
        </w:rPr>
        <w:t xml:space="preserve">        </w:t>
      </w:r>
      <w:r>
        <w:rPr>
          <w:rStyle w:val="11"/>
          <w:rFonts w:ascii="宋体" w:hAnsi="宋体"/>
          <w:szCs w:val="21"/>
        </w:rPr>
        <w:t xml:space="preserve"> （以下简称“乙方”）为中标人。</w:t>
      </w:r>
    </w:p>
    <w:p w14:paraId="392EFE71">
      <w:pPr>
        <w:snapToGrid w:val="0"/>
        <w:spacing w:line="360" w:lineRule="auto"/>
        <w:ind w:firstLine="440" w:firstLineChars="200"/>
        <w:rPr>
          <w:rStyle w:val="11"/>
          <w:rFonts w:ascii="宋体" w:hAnsi="宋体"/>
          <w:szCs w:val="21"/>
        </w:rPr>
      </w:pPr>
      <w:r>
        <w:rPr>
          <w:rStyle w:val="11"/>
          <w:rFonts w:ascii="宋体" w:hAnsi="宋体"/>
          <w:szCs w:val="21"/>
        </w:rPr>
        <w:t>依据《中华人民共和国民法典》和《中华人民共和国政府采购法》，经双方协商按下述条款和条件签署本合同。</w:t>
      </w:r>
    </w:p>
    <w:p w14:paraId="6103D689">
      <w:pPr>
        <w:snapToGrid w:val="0"/>
        <w:spacing w:line="360" w:lineRule="auto"/>
        <w:ind w:firstLine="442" w:firstLineChars="200"/>
        <w:rPr>
          <w:rStyle w:val="11"/>
          <w:rFonts w:ascii="宋体" w:hAnsi="宋体" w:cs="宋体"/>
          <w:b/>
          <w:bCs/>
          <w:szCs w:val="21"/>
        </w:rPr>
      </w:pPr>
      <w:r>
        <w:rPr>
          <w:rStyle w:val="11"/>
          <w:rFonts w:ascii="宋体" w:hAnsi="宋体" w:cs="宋体"/>
          <w:b/>
          <w:bCs/>
          <w:szCs w:val="21"/>
        </w:rPr>
        <w:t>一、合同价款</w:t>
      </w:r>
    </w:p>
    <w:p w14:paraId="6E3E16C3">
      <w:pPr>
        <w:snapToGrid w:val="0"/>
        <w:spacing w:line="360" w:lineRule="auto"/>
        <w:ind w:firstLine="440" w:firstLineChars="200"/>
        <w:rPr>
          <w:rStyle w:val="11"/>
          <w:rFonts w:hint="default" w:ascii="宋体" w:hAnsi="宋体" w:eastAsia="宋体" w:cs="宋体"/>
          <w:bCs/>
          <w:szCs w:val="21"/>
          <w:lang w:val="en-US" w:eastAsia="zh-CN"/>
        </w:rPr>
      </w:pPr>
      <w:r>
        <w:rPr>
          <w:rStyle w:val="11"/>
          <w:rFonts w:ascii="宋体" w:hAnsi="宋体" w:cs="宋体"/>
          <w:bCs/>
          <w:szCs w:val="21"/>
        </w:rPr>
        <w:t>（</w:t>
      </w:r>
      <w:r>
        <w:rPr>
          <w:rStyle w:val="11"/>
          <w:rFonts w:hint="eastAsia" w:cs="宋体"/>
          <w:bCs/>
          <w:szCs w:val="21"/>
          <w:lang w:val="en-US" w:eastAsia="zh-CN"/>
        </w:rPr>
        <w:t>一）本项目为单价采购合同，具体单价明细如下：</w:t>
      </w:r>
    </w:p>
    <w:tbl>
      <w:tblPr>
        <w:tblStyle w:val="6"/>
        <w:tblW w:w="4982"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21"/>
        <w:gridCol w:w="1759"/>
        <w:gridCol w:w="2406"/>
        <w:gridCol w:w="2405"/>
      </w:tblGrid>
      <w:tr w14:paraId="162E2B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167" w:type="pct"/>
            <w:gridSpan w:val="2"/>
            <w:tcBorders>
              <w:tl2br w:val="nil"/>
              <w:tr2bl w:val="nil"/>
            </w:tcBorders>
            <w:vAlign w:val="center"/>
          </w:tcPr>
          <w:p w14:paraId="2478414F">
            <w:pPr>
              <w:widowControl/>
              <w:spacing w:line="360" w:lineRule="auto"/>
              <w:jc w:val="center"/>
              <w:textAlignment w:val="baseline"/>
              <w:rPr>
                <w:rFonts w:ascii="宋体" w:hAnsi="宋体" w:cs="宋体"/>
                <w:b w:val="0"/>
                <w:bCs w:val="0"/>
                <w:kern w:val="0"/>
                <w:sz w:val="21"/>
                <w:szCs w:val="21"/>
              </w:rPr>
            </w:pPr>
            <w:r>
              <w:rPr>
                <w:rFonts w:hint="eastAsia" w:ascii="宋体" w:hAnsi="宋体" w:cs="宋体"/>
                <w:b w:val="0"/>
                <w:bCs w:val="0"/>
                <w:kern w:val="0"/>
                <w:sz w:val="21"/>
                <w:szCs w:val="21"/>
              </w:rPr>
              <w:t>预估人数</w:t>
            </w:r>
          </w:p>
        </w:tc>
        <w:tc>
          <w:tcPr>
            <w:tcW w:w="1417" w:type="pct"/>
            <w:tcBorders>
              <w:tl2br w:val="nil"/>
              <w:tr2bl w:val="nil"/>
            </w:tcBorders>
            <w:vAlign w:val="center"/>
          </w:tcPr>
          <w:p w14:paraId="3D7E0217">
            <w:pPr>
              <w:widowControl/>
              <w:spacing w:line="360" w:lineRule="auto"/>
              <w:jc w:val="center"/>
              <w:textAlignment w:val="baseline"/>
              <w:rPr>
                <w:rFonts w:ascii="宋体" w:hAnsi="宋体" w:cs="宋体"/>
                <w:b w:val="0"/>
                <w:bCs w:val="0"/>
                <w:kern w:val="0"/>
                <w:sz w:val="21"/>
                <w:szCs w:val="21"/>
              </w:rPr>
            </w:pPr>
            <w:r>
              <w:rPr>
                <w:rFonts w:hint="eastAsia" w:cs="宋体"/>
                <w:b w:val="0"/>
                <w:bCs w:val="0"/>
                <w:kern w:val="0"/>
                <w:sz w:val="21"/>
                <w:szCs w:val="21"/>
                <w:lang w:val="en-US" w:eastAsia="zh-CN"/>
              </w:rPr>
              <w:t>结算</w:t>
            </w:r>
            <w:r>
              <w:rPr>
                <w:rFonts w:hint="eastAsia" w:ascii="宋体" w:hAnsi="宋体" w:cs="宋体"/>
                <w:b w:val="0"/>
                <w:bCs w:val="0"/>
                <w:kern w:val="0"/>
                <w:sz w:val="21"/>
                <w:szCs w:val="21"/>
              </w:rPr>
              <w:t>单价</w:t>
            </w:r>
          </w:p>
        </w:tc>
        <w:tc>
          <w:tcPr>
            <w:tcW w:w="1416" w:type="pct"/>
            <w:tcBorders>
              <w:tl2br w:val="nil"/>
              <w:tr2bl w:val="nil"/>
            </w:tcBorders>
            <w:vAlign w:val="center"/>
          </w:tcPr>
          <w:p w14:paraId="602965E4">
            <w:pPr>
              <w:widowControl/>
              <w:spacing w:line="360" w:lineRule="auto"/>
              <w:jc w:val="center"/>
              <w:textAlignment w:val="baseline"/>
              <w:rPr>
                <w:rFonts w:ascii="宋体" w:hAnsi="宋体" w:cs="宋体"/>
                <w:b w:val="0"/>
                <w:bCs w:val="0"/>
                <w:kern w:val="0"/>
                <w:sz w:val="21"/>
                <w:szCs w:val="21"/>
              </w:rPr>
            </w:pPr>
            <w:r>
              <w:rPr>
                <w:rFonts w:hint="eastAsia" w:ascii="宋体" w:hAnsi="宋体" w:cs="宋体"/>
                <w:b w:val="0"/>
                <w:bCs w:val="0"/>
                <w:kern w:val="0"/>
                <w:sz w:val="21"/>
                <w:szCs w:val="21"/>
              </w:rPr>
              <w:t>分项合计（元）</w:t>
            </w:r>
          </w:p>
        </w:tc>
      </w:tr>
      <w:tr w14:paraId="39EB82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1" w:type="pct"/>
            <w:tcBorders>
              <w:tl2br w:val="nil"/>
              <w:tr2bl w:val="nil"/>
            </w:tcBorders>
            <w:vAlign w:val="center"/>
          </w:tcPr>
          <w:p w14:paraId="1CBF37BD">
            <w:pPr>
              <w:widowControl/>
              <w:spacing w:line="360" w:lineRule="auto"/>
              <w:jc w:val="center"/>
              <w:textAlignment w:val="baseline"/>
              <w:rPr>
                <w:rFonts w:ascii="宋体" w:hAnsi="宋体" w:cs="宋体"/>
                <w:b w:val="0"/>
                <w:bCs w:val="0"/>
                <w:sz w:val="21"/>
                <w:szCs w:val="21"/>
              </w:rPr>
            </w:pPr>
            <w:r>
              <w:rPr>
                <w:rFonts w:hint="eastAsia" w:ascii="宋体" w:hAnsi="宋体" w:cs="宋体"/>
                <w:b w:val="0"/>
                <w:bCs w:val="0"/>
                <w:kern w:val="0"/>
                <w:sz w:val="21"/>
                <w:szCs w:val="21"/>
              </w:rPr>
              <w:t>45岁以下</w:t>
            </w:r>
            <w:r>
              <w:rPr>
                <w:rFonts w:hint="eastAsia" w:ascii="宋体" w:hAnsi="宋体" w:cs="宋体"/>
                <w:b w:val="0"/>
                <w:bCs w:val="0"/>
                <w:sz w:val="21"/>
                <w:szCs w:val="21"/>
              </w:rPr>
              <w:t>男性</w:t>
            </w:r>
          </w:p>
        </w:tc>
        <w:tc>
          <w:tcPr>
            <w:tcW w:w="1036" w:type="pct"/>
            <w:tcBorders>
              <w:tl2br w:val="nil"/>
              <w:tr2bl w:val="nil"/>
            </w:tcBorders>
            <w:vAlign w:val="center"/>
          </w:tcPr>
          <w:p w14:paraId="57A09CD6">
            <w:pPr>
              <w:widowControl/>
              <w:spacing w:line="360" w:lineRule="auto"/>
              <w:jc w:val="center"/>
              <w:textAlignment w:val="baseline"/>
              <w:rPr>
                <w:rFonts w:ascii="宋体" w:hAnsi="宋体" w:cs="宋体"/>
                <w:b w:val="0"/>
                <w:bCs w:val="0"/>
                <w:kern w:val="0"/>
                <w:sz w:val="21"/>
                <w:szCs w:val="21"/>
              </w:rPr>
            </w:pPr>
            <w:r>
              <w:rPr>
                <w:rFonts w:hint="eastAsia" w:cs="宋体"/>
                <w:b w:val="0"/>
                <w:bCs w:val="0"/>
                <w:kern w:val="0"/>
                <w:sz w:val="21"/>
                <w:szCs w:val="21"/>
                <w:u w:val="single"/>
                <w:lang w:val="en-US" w:eastAsia="zh-CN"/>
              </w:rPr>
              <w:t xml:space="preserve">      </w:t>
            </w:r>
            <w:r>
              <w:rPr>
                <w:rFonts w:hint="eastAsia" w:ascii="宋体" w:hAnsi="宋体" w:cs="宋体"/>
                <w:b w:val="0"/>
                <w:bCs w:val="0"/>
                <w:kern w:val="0"/>
                <w:sz w:val="21"/>
                <w:szCs w:val="21"/>
              </w:rPr>
              <w:t>人</w:t>
            </w:r>
          </w:p>
        </w:tc>
        <w:tc>
          <w:tcPr>
            <w:tcW w:w="1417" w:type="pct"/>
            <w:tcBorders>
              <w:tl2br w:val="nil"/>
              <w:tr2bl w:val="nil"/>
            </w:tcBorders>
            <w:vAlign w:val="center"/>
          </w:tcPr>
          <w:p w14:paraId="0E89C687">
            <w:pPr>
              <w:spacing w:line="360" w:lineRule="auto"/>
              <w:jc w:val="center"/>
              <w:rPr>
                <w:rFonts w:ascii="宋体" w:hAnsi="宋体" w:cs="宋体"/>
                <w:b w:val="0"/>
                <w:bCs w:val="0"/>
                <w:sz w:val="21"/>
                <w:szCs w:val="21"/>
              </w:rPr>
            </w:pPr>
            <w:r>
              <w:rPr>
                <w:rFonts w:hint="eastAsia" w:cs="宋体"/>
                <w:b w:val="0"/>
                <w:bCs w:val="0"/>
                <w:kern w:val="0"/>
                <w:sz w:val="21"/>
                <w:szCs w:val="21"/>
                <w:lang w:val="en-US" w:eastAsia="zh-CN"/>
              </w:rPr>
              <w:t>469.5</w:t>
            </w:r>
            <w:r>
              <w:rPr>
                <w:rFonts w:hint="eastAsia" w:ascii="宋体" w:hAnsi="宋体" w:cs="宋体"/>
                <w:b w:val="0"/>
                <w:bCs w:val="0"/>
                <w:kern w:val="0"/>
                <w:sz w:val="21"/>
                <w:szCs w:val="21"/>
              </w:rPr>
              <w:t>（元/人）</w:t>
            </w:r>
          </w:p>
        </w:tc>
        <w:tc>
          <w:tcPr>
            <w:tcW w:w="1416" w:type="pct"/>
            <w:tcBorders>
              <w:tl2br w:val="nil"/>
              <w:tr2bl w:val="nil"/>
            </w:tcBorders>
            <w:vAlign w:val="center"/>
          </w:tcPr>
          <w:p w14:paraId="6DF637AF">
            <w:pPr>
              <w:spacing w:line="360" w:lineRule="auto"/>
              <w:jc w:val="center"/>
              <w:rPr>
                <w:rFonts w:ascii="宋体" w:hAnsi="宋体" w:cs="宋体"/>
                <w:b w:val="0"/>
                <w:bCs w:val="0"/>
                <w:kern w:val="0"/>
                <w:sz w:val="21"/>
                <w:szCs w:val="21"/>
                <w:u w:val="single"/>
              </w:rPr>
            </w:pPr>
          </w:p>
        </w:tc>
      </w:tr>
      <w:tr w14:paraId="191DA7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1" w:type="pct"/>
            <w:tcBorders>
              <w:tl2br w:val="nil"/>
              <w:tr2bl w:val="nil"/>
            </w:tcBorders>
            <w:vAlign w:val="center"/>
          </w:tcPr>
          <w:p w14:paraId="62A3E0A6">
            <w:pPr>
              <w:widowControl/>
              <w:spacing w:line="360" w:lineRule="auto"/>
              <w:jc w:val="center"/>
              <w:textAlignment w:val="baseline"/>
              <w:rPr>
                <w:rFonts w:ascii="宋体" w:hAnsi="宋体" w:cs="宋体"/>
                <w:b w:val="0"/>
                <w:bCs w:val="0"/>
                <w:sz w:val="21"/>
                <w:szCs w:val="21"/>
              </w:rPr>
            </w:pPr>
            <w:r>
              <w:rPr>
                <w:rFonts w:hint="eastAsia" w:ascii="宋体" w:hAnsi="宋体" w:cs="宋体"/>
                <w:b w:val="0"/>
                <w:bCs w:val="0"/>
                <w:kern w:val="0"/>
                <w:sz w:val="21"/>
                <w:szCs w:val="21"/>
              </w:rPr>
              <w:t>45岁以上</w:t>
            </w:r>
            <w:r>
              <w:rPr>
                <w:rFonts w:hint="eastAsia" w:ascii="宋体" w:hAnsi="宋体" w:cs="宋体"/>
                <w:b w:val="0"/>
                <w:bCs w:val="0"/>
                <w:sz w:val="21"/>
                <w:szCs w:val="21"/>
              </w:rPr>
              <w:t>男性</w:t>
            </w:r>
          </w:p>
        </w:tc>
        <w:tc>
          <w:tcPr>
            <w:tcW w:w="1036" w:type="pct"/>
            <w:tcBorders>
              <w:tl2br w:val="nil"/>
              <w:tr2bl w:val="nil"/>
            </w:tcBorders>
            <w:vAlign w:val="center"/>
          </w:tcPr>
          <w:p w14:paraId="551940D9">
            <w:pPr>
              <w:widowControl/>
              <w:spacing w:line="360" w:lineRule="auto"/>
              <w:jc w:val="center"/>
              <w:textAlignment w:val="baseline"/>
              <w:rPr>
                <w:rFonts w:ascii="宋体" w:hAnsi="宋体" w:cs="宋体"/>
                <w:b w:val="0"/>
                <w:bCs w:val="0"/>
                <w:kern w:val="0"/>
                <w:sz w:val="21"/>
                <w:szCs w:val="21"/>
              </w:rPr>
            </w:pPr>
            <w:r>
              <w:rPr>
                <w:rFonts w:hint="eastAsia" w:cs="宋体"/>
                <w:b w:val="0"/>
                <w:bCs w:val="0"/>
                <w:kern w:val="0"/>
                <w:sz w:val="21"/>
                <w:szCs w:val="21"/>
                <w:u w:val="single"/>
                <w:lang w:val="en-US" w:eastAsia="zh-CN"/>
              </w:rPr>
              <w:t xml:space="preserve">      </w:t>
            </w:r>
            <w:r>
              <w:rPr>
                <w:rFonts w:hint="eastAsia" w:ascii="宋体" w:hAnsi="宋体" w:cs="宋体"/>
                <w:b w:val="0"/>
                <w:bCs w:val="0"/>
                <w:kern w:val="0"/>
                <w:sz w:val="21"/>
                <w:szCs w:val="21"/>
              </w:rPr>
              <w:t>人</w:t>
            </w:r>
          </w:p>
        </w:tc>
        <w:tc>
          <w:tcPr>
            <w:tcW w:w="1417" w:type="pct"/>
            <w:tcBorders>
              <w:tl2br w:val="nil"/>
              <w:tr2bl w:val="nil"/>
            </w:tcBorders>
            <w:vAlign w:val="center"/>
          </w:tcPr>
          <w:p w14:paraId="33DECE3C">
            <w:pPr>
              <w:spacing w:line="360" w:lineRule="auto"/>
              <w:jc w:val="center"/>
              <w:rPr>
                <w:rFonts w:ascii="宋体" w:hAnsi="宋体" w:cs="宋体"/>
                <w:b w:val="0"/>
                <w:bCs w:val="0"/>
                <w:sz w:val="21"/>
                <w:szCs w:val="21"/>
              </w:rPr>
            </w:pPr>
            <w:r>
              <w:rPr>
                <w:rFonts w:hint="eastAsia" w:cs="宋体"/>
                <w:b w:val="0"/>
                <w:bCs w:val="0"/>
                <w:kern w:val="0"/>
                <w:sz w:val="21"/>
                <w:szCs w:val="21"/>
                <w:lang w:val="en-US" w:eastAsia="zh-CN"/>
              </w:rPr>
              <w:t>518.5</w:t>
            </w:r>
            <w:r>
              <w:rPr>
                <w:rFonts w:hint="eastAsia" w:ascii="宋体" w:hAnsi="宋体" w:cs="宋体"/>
                <w:b w:val="0"/>
                <w:bCs w:val="0"/>
                <w:kern w:val="0"/>
                <w:sz w:val="21"/>
                <w:szCs w:val="21"/>
              </w:rPr>
              <w:t>（元/人）</w:t>
            </w:r>
          </w:p>
        </w:tc>
        <w:tc>
          <w:tcPr>
            <w:tcW w:w="1416" w:type="pct"/>
            <w:tcBorders>
              <w:tl2br w:val="nil"/>
              <w:tr2bl w:val="nil"/>
            </w:tcBorders>
            <w:vAlign w:val="center"/>
          </w:tcPr>
          <w:p w14:paraId="2E6B9229">
            <w:pPr>
              <w:spacing w:line="360" w:lineRule="auto"/>
              <w:jc w:val="center"/>
              <w:rPr>
                <w:rFonts w:ascii="宋体" w:hAnsi="宋体" w:cs="宋体"/>
                <w:b w:val="0"/>
                <w:bCs w:val="0"/>
                <w:kern w:val="0"/>
                <w:sz w:val="21"/>
                <w:szCs w:val="21"/>
                <w:u w:val="single"/>
              </w:rPr>
            </w:pPr>
          </w:p>
        </w:tc>
      </w:tr>
      <w:tr w14:paraId="7DD69B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1" w:type="pct"/>
            <w:tcBorders>
              <w:tl2br w:val="nil"/>
              <w:tr2bl w:val="nil"/>
            </w:tcBorders>
            <w:vAlign w:val="center"/>
          </w:tcPr>
          <w:p w14:paraId="05538F69">
            <w:pPr>
              <w:widowControl/>
              <w:spacing w:line="360" w:lineRule="auto"/>
              <w:jc w:val="center"/>
              <w:textAlignment w:val="baseline"/>
              <w:rPr>
                <w:rFonts w:ascii="宋体" w:hAnsi="宋体" w:cs="宋体"/>
                <w:b w:val="0"/>
                <w:bCs w:val="0"/>
                <w:sz w:val="21"/>
                <w:szCs w:val="21"/>
              </w:rPr>
            </w:pPr>
            <w:r>
              <w:rPr>
                <w:rFonts w:hint="eastAsia" w:ascii="宋体" w:hAnsi="宋体" w:cs="宋体"/>
                <w:b w:val="0"/>
                <w:bCs w:val="0"/>
                <w:kern w:val="0"/>
                <w:sz w:val="21"/>
                <w:szCs w:val="21"/>
              </w:rPr>
              <w:t>45岁以下</w:t>
            </w:r>
            <w:r>
              <w:rPr>
                <w:rFonts w:hint="eastAsia" w:ascii="宋体" w:hAnsi="宋体" w:cs="宋体"/>
                <w:b w:val="0"/>
                <w:bCs w:val="0"/>
                <w:sz w:val="21"/>
                <w:szCs w:val="21"/>
              </w:rPr>
              <w:t>女性</w:t>
            </w:r>
          </w:p>
        </w:tc>
        <w:tc>
          <w:tcPr>
            <w:tcW w:w="1036" w:type="pct"/>
            <w:tcBorders>
              <w:tl2br w:val="nil"/>
              <w:tr2bl w:val="nil"/>
            </w:tcBorders>
            <w:vAlign w:val="center"/>
          </w:tcPr>
          <w:p w14:paraId="63D1F994">
            <w:pPr>
              <w:widowControl/>
              <w:spacing w:line="360" w:lineRule="auto"/>
              <w:jc w:val="center"/>
              <w:textAlignment w:val="baseline"/>
              <w:rPr>
                <w:rFonts w:ascii="宋体" w:hAnsi="宋体" w:cs="宋体"/>
                <w:b w:val="0"/>
                <w:bCs w:val="0"/>
                <w:kern w:val="0"/>
                <w:sz w:val="21"/>
                <w:szCs w:val="21"/>
              </w:rPr>
            </w:pPr>
            <w:r>
              <w:rPr>
                <w:rFonts w:hint="eastAsia" w:cs="宋体"/>
                <w:b w:val="0"/>
                <w:bCs w:val="0"/>
                <w:kern w:val="0"/>
                <w:sz w:val="21"/>
                <w:szCs w:val="21"/>
                <w:u w:val="single"/>
                <w:lang w:val="en-US" w:eastAsia="zh-CN"/>
              </w:rPr>
              <w:t xml:space="preserve">      </w:t>
            </w:r>
            <w:r>
              <w:rPr>
                <w:rFonts w:hint="eastAsia" w:ascii="宋体" w:hAnsi="宋体" w:cs="宋体"/>
                <w:b w:val="0"/>
                <w:bCs w:val="0"/>
                <w:kern w:val="0"/>
                <w:sz w:val="21"/>
                <w:szCs w:val="21"/>
              </w:rPr>
              <w:t>人</w:t>
            </w:r>
          </w:p>
        </w:tc>
        <w:tc>
          <w:tcPr>
            <w:tcW w:w="1417" w:type="pct"/>
            <w:tcBorders>
              <w:tl2br w:val="nil"/>
              <w:tr2bl w:val="nil"/>
            </w:tcBorders>
            <w:vAlign w:val="center"/>
          </w:tcPr>
          <w:p w14:paraId="6283757C">
            <w:pPr>
              <w:spacing w:line="360" w:lineRule="auto"/>
              <w:jc w:val="center"/>
              <w:rPr>
                <w:rFonts w:ascii="宋体" w:hAnsi="宋体" w:cs="宋体"/>
                <w:b w:val="0"/>
                <w:bCs w:val="0"/>
                <w:sz w:val="21"/>
                <w:szCs w:val="21"/>
              </w:rPr>
            </w:pPr>
            <w:r>
              <w:rPr>
                <w:rFonts w:hint="eastAsia" w:cs="宋体"/>
                <w:b w:val="0"/>
                <w:bCs w:val="0"/>
                <w:kern w:val="0"/>
                <w:sz w:val="21"/>
                <w:szCs w:val="21"/>
                <w:lang w:val="en-US" w:eastAsia="zh-CN"/>
              </w:rPr>
              <w:t>533.7</w:t>
            </w:r>
            <w:r>
              <w:rPr>
                <w:rFonts w:hint="eastAsia" w:ascii="宋体" w:hAnsi="宋体" w:cs="宋体"/>
                <w:b w:val="0"/>
                <w:bCs w:val="0"/>
                <w:kern w:val="0"/>
                <w:sz w:val="21"/>
                <w:szCs w:val="21"/>
              </w:rPr>
              <w:t>（元/人）</w:t>
            </w:r>
          </w:p>
        </w:tc>
        <w:tc>
          <w:tcPr>
            <w:tcW w:w="1416" w:type="pct"/>
            <w:tcBorders>
              <w:tl2br w:val="nil"/>
              <w:tr2bl w:val="nil"/>
            </w:tcBorders>
            <w:vAlign w:val="center"/>
          </w:tcPr>
          <w:p w14:paraId="29001600">
            <w:pPr>
              <w:spacing w:line="360" w:lineRule="auto"/>
              <w:jc w:val="center"/>
              <w:rPr>
                <w:rFonts w:ascii="宋体" w:hAnsi="宋体" w:cs="宋体"/>
                <w:b w:val="0"/>
                <w:bCs w:val="0"/>
                <w:kern w:val="0"/>
                <w:sz w:val="21"/>
                <w:szCs w:val="21"/>
                <w:u w:val="single"/>
              </w:rPr>
            </w:pPr>
          </w:p>
        </w:tc>
      </w:tr>
      <w:tr w14:paraId="31AFD4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1" w:type="pct"/>
            <w:tcBorders>
              <w:tl2br w:val="nil"/>
              <w:tr2bl w:val="nil"/>
            </w:tcBorders>
            <w:vAlign w:val="center"/>
          </w:tcPr>
          <w:p w14:paraId="6AF429EA">
            <w:pPr>
              <w:widowControl/>
              <w:spacing w:line="360" w:lineRule="auto"/>
              <w:jc w:val="center"/>
              <w:textAlignment w:val="baseline"/>
              <w:rPr>
                <w:rFonts w:ascii="宋体" w:hAnsi="宋体" w:cs="宋体"/>
                <w:b w:val="0"/>
                <w:bCs w:val="0"/>
                <w:kern w:val="0"/>
                <w:sz w:val="21"/>
                <w:szCs w:val="21"/>
              </w:rPr>
            </w:pPr>
            <w:r>
              <w:rPr>
                <w:rFonts w:hint="eastAsia" w:ascii="宋体" w:hAnsi="宋体" w:cs="宋体"/>
                <w:b w:val="0"/>
                <w:bCs w:val="0"/>
                <w:kern w:val="0"/>
                <w:sz w:val="21"/>
                <w:szCs w:val="21"/>
              </w:rPr>
              <w:t>45岁以上女性</w:t>
            </w:r>
          </w:p>
        </w:tc>
        <w:tc>
          <w:tcPr>
            <w:tcW w:w="1036" w:type="pct"/>
            <w:tcBorders>
              <w:tl2br w:val="nil"/>
              <w:tr2bl w:val="nil"/>
            </w:tcBorders>
            <w:vAlign w:val="center"/>
          </w:tcPr>
          <w:p w14:paraId="4B070119">
            <w:pPr>
              <w:widowControl/>
              <w:spacing w:line="360" w:lineRule="auto"/>
              <w:jc w:val="center"/>
              <w:textAlignment w:val="baseline"/>
              <w:rPr>
                <w:rFonts w:ascii="宋体" w:hAnsi="宋体" w:cs="宋体"/>
                <w:b w:val="0"/>
                <w:bCs w:val="0"/>
                <w:kern w:val="0"/>
                <w:sz w:val="21"/>
                <w:szCs w:val="21"/>
              </w:rPr>
            </w:pPr>
            <w:r>
              <w:rPr>
                <w:rFonts w:hint="eastAsia" w:cs="宋体"/>
                <w:b w:val="0"/>
                <w:bCs w:val="0"/>
                <w:kern w:val="0"/>
                <w:sz w:val="21"/>
                <w:szCs w:val="21"/>
                <w:u w:val="single"/>
                <w:lang w:val="en-US" w:eastAsia="zh-CN"/>
              </w:rPr>
              <w:t xml:space="preserve">      </w:t>
            </w:r>
            <w:r>
              <w:rPr>
                <w:rFonts w:hint="eastAsia" w:ascii="宋体" w:hAnsi="宋体" w:cs="宋体"/>
                <w:b w:val="0"/>
                <w:bCs w:val="0"/>
                <w:kern w:val="0"/>
                <w:sz w:val="21"/>
                <w:szCs w:val="21"/>
              </w:rPr>
              <w:t>人</w:t>
            </w:r>
          </w:p>
        </w:tc>
        <w:tc>
          <w:tcPr>
            <w:tcW w:w="1417" w:type="pct"/>
            <w:tcBorders>
              <w:tl2br w:val="nil"/>
              <w:tr2bl w:val="nil"/>
            </w:tcBorders>
            <w:vAlign w:val="center"/>
          </w:tcPr>
          <w:p w14:paraId="72CC769D">
            <w:pPr>
              <w:spacing w:line="360" w:lineRule="auto"/>
              <w:jc w:val="center"/>
              <w:rPr>
                <w:rFonts w:ascii="宋体" w:hAnsi="宋体" w:cs="宋体"/>
                <w:b w:val="0"/>
                <w:bCs w:val="0"/>
                <w:sz w:val="21"/>
                <w:szCs w:val="21"/>
              </w:rPr>
            </w:pPr>
            <w:r>
              <w:rPr>
                <w:rFonts w:hint="eastAsia" w:cs="宋体"/>
                <w:b w:val="0"/>
                <w:bCs w:val="0"/>
                <w:kern w:val="0"/>
                <w:sz w:val="21"/>
                <w:szCs w:val="21"/>
                <w:lang w:val="en-US" w:eastAsia="zh-CN"/>
              </w:rPr>
              <w:t>582.7</w:t>
            </w:r>
            <w:r>
              <w:rPr>
                <w:rFonts w:hint="eastAsia" w:ascii="宋体" w:hAnsi="宋体" w:cs="宋体"/>
                <w:b w:val="0"/>
                <w:bCs w:val="0"/>
                <w:kern w:val="0"/>
                <w:sz w:val="21"/>
                <w:szCs w:val="21"/>
              </w:rPr>
              <w:t>（元/人）</w:t>
            </w:r>
          </w:p>
        </w:tc>
        <w:tc>
          <w:tcPr>
            <w:tcW w:w="1416" w:type="pct"/>
            <w:tcBorders>
              <w:tl2br w:val="nil"/>
              <w:tr2bl w:val="nil"/>
            </w:tcBorders>
            <w:vAlign w:val="center"/>
          </w:tcPr>
          <w:p w14:paraId="20008061">
            <w:pPr>
              <w:spacing w:line="360" w:lineRule="auto"/>
              <w:jc w:val="center"/>
              <w:rPr>
                <w:rFonts w:ascii="宋体" w:hAnsi="宋体" w:cs="宋体"/>
                <w:b w:val="0"/>
                <w:bCs w:val="0"/>
                <w:kern w:val="0"/>
                <w:sz w:val="21"/>
                <w:szCs w:val="21"/>
                <w:u w:val="single"/>
              </w:rPr>
            </w:pPr>
          </w:p>
        </w:tc>
      </w:tr>
      <w:tr w14:paraId="69D5CC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30" w:hRule="atLeast"/>
          <w:jc w:val="center"/>
        </w:trPr>
        <w:tc>
          <w:tcPr>
            <w:tcW w:w="1131" w:type="pct"/>
            <w:tcBorders>
              <w:tl2br w:val="nil"/>
              <w:tr2bl w:val="nil"/>
            </w:tcBorders>
            <w:vAlign w:val="center"/>
          </w:tcPr>
          <w:p w14:paraId="1BC54B07">
            <w:pPr>
              <w:widowControl/>
              <w:spacing w:line="360" w:lineRule="auto"/>
              <w:jc w:val="center"/>
              <w:textAlignment w:val="baseline"/>
              <w:rPr>
                <w:rFonts w:ascii="宋体" w:hAnsi="宋体" w:cs="宋体"/>
                <w:b w:val="0"/>
                <w:bCs w:val="0"/>
                <w:kern w:val="0"/>
                <w:sz w:val="21"/>
                <w:szCs w:val="21"/>
              </w:rPr>
            </w:pPr>
            <w:r>
              <w:rPr>
                <w:rFonts w:hint="eastAsia" w:asciiTheme="minorEastAsia" w:hAnsiTheme="minorEastAsia" w:cstheme="minorEastAsia"/>
                <w:b w:val="0"/>
                <w:bCs w:val="0"/>
                <w:color w:val="000000"/>
                <w:kern w:val="0"/>
                <w:szCs w:val="21"/>
              </w:rPr>
              <w:t>颈部血管彩超</w:t>
            </w:r>
          </w:p>
        </w:tc>
        <w:tc>
          <w:tcPr>
            <w:tcW w:w="1036" w:type="pct"/>
            <w:tcBorders>
              <w:tl2br w:val="nil"/>
              <w:tr2bl w:val="nil"/>
            </w:tcBorders>
            <w:vAlign w:val="center"/>
          </w:tcPr>
          <w:p w14:paraId="45BF185D">
            <w:pPr>
              <w:widowControl/>
              <w:spacing w:line="360" w:lineRule="auto"/>
              <w:jc w:val="center"/>
              <w:textAlignment w:val="baseline"/>
              <w:rPr>
                <w:rFonts w:ascii="宋体" w:hAnsi="宋体" w:cs="宋体"/>
                <w:b w:val="0"/>
                <w:bCs w:val="0"/>
                <w:kern w:val="0"/>
                <w:sz w:val="21"/>
                <w:szCs w:val="21"/>
              </w:rPr>
            </w:pPr>
            <w:r>
              <w:rPr>
                <w:rFonts w:hint="eastAsia" w:cs="宋体"/>
                <w:b w:val="0"/>
                <w:bCs w:val="0"/>
                <w:kern w:val="0"/>
                <w:sz w:val="21"/>
                <w:szCs w:val="21"/>
                <w:u w:val="single"/>
                <w:lang w:val="en-US" w:eastAsia="zh-CN"/>
              </w:rPr>
              <w:t xml:space="preserve">      </w:t>
            </w:r>
            <w:r>
              <w:rPr>
                <w:rFonts w:hint="eastAsia" w:ascii="宋体" w:hAnsi="宋体" w:cs="宋体"/>
                <w:b w:val="0"/>
                <w:bCs w:val="0"/>
                <w:kern w:val="0"/>
                <w:sz w:val="21"/>
                <w:szCs w:val="21"/>
              </w:rPr>
              <w:t>人</w:t>
            </w:r>
          </w:p>
        </w:tc>
        <w:tc>
          <w:tcPr>
            <w:tcW w:w="1417" w:type="pct"/>
            <w:tcBorders>
              <w:tl2br w:val="nil"/>
              <w:tr2bl w:val="nil"/>
            </w:tcBorders>
            <w:vAlign w:val="center"/>
          </w:tcPr>
          <w:p w14:paraId="7FC3F78A">
            <w:pPr>
              <w:spacing w:line="360" w:lineRule="auto"/>
              <w:jc w:val="center"/>
              <w:rPr>
                <w:rFonts w:ascii="宋体" w:hAnsi="宋体" w:cs="宋体"/>
                <w:b w:val="0"/>
                <w:bCs w:val="0"/>
                <w:kern w:val="0"/>
                <w:sz w:val="21"/>
                <w:szCs w:val="21"/>
                <w:u w:val="single"/>
              </w:rPr>
            </w:pPr>
            <w:r>
              <w:rPr>
                <w:rFonts w:hint="eastAsia" w:cs="宋体"/>
                <w:b w:val="0"/>
                <w:bCs w:val="0"/>
                <w:kern w:val="0"/>
                <w:sz w:val="21"/>
                <w:szCs w:val="21"/>
                <w:lang w:val="en-US" w:eastAsia="zh-CN"/>
              </w:rPr>
              <w:t>130.5</w:t>
            </w:r>
            <w:r>
              <w:rPr>
                <w:rFonts w:hint="eastAsia" w:ascii="宋体" w:hAnsi="宋体" w:cs="宋体"/>
                <w:b w:val="0"/>
                <w:bCs w:val="0"/>
                <w:kern w:val="0"/>
                <w:sz w:val="21"/>
                <w:szCs w:val="21"/>
              </w:rPr>
              <w:t>（元/人）</w:t>
            </w:r>
          </w:p>
        </w:tc>
        <w:tc>
          <w:tcPr>
            <w:tcW w:w="1416" w:type="pct"/>
            <w:vMerge w:val="restart"/>
            <w:tcBorders>
              <w:tl2br w:val="nil"/>
              <w:tr2bl w:val="nil"/>
            </w:tcBorders>
            <w:vAlign w:val="center"/>
          </w:tcPr>
          <w:p w14:paraId="48DA4A09">
            <w:pPr>
              <w:spacing w:line="360" w:lineRule="auto"/>
              <w:jc w:val="center"/>
              <w:rPr>
                <w:rFonts w:ascii="宋体" w:hAnsi="宋体" w:cs="宋体"/>
                <w:b w:val="0"/>
                <w:bCs w:val="0"/>
                <w:kern w:val="0"/>
                <w:sz w:val="21"/>
                <w:szCs w:val="21"/>
                <w:u w:val="single"/>
              </w:rPr>
            </w:pPr>
            <w:r>
              <w:rPr>
                <w:rFonts w:hint="eastAsia" w:asciiTheme="minorEastAsia" w:hAnsiTheme="minorEastAsia" w:cstheme="minorEastAsia"/>
                <w:color w:val="000000"/>
                <w:kern w:val="0"/>
                <w:szCs w:val="21"/>
              </w:rPr>
              <w:t>备注：供应商根据第一阶段体检结果为采购人出具</w:t>
            </w:r>
            <w:r>
              <w:rPr>
                <w:rFonts w:hint="eastAsia" w:asciiTheme="minorEastAsia" w:hAnsiTheme="minorEastAsia" w:cstheme="minorEastAsia"/>
                <w:b/>
                <w:bCs/>
                <w:color w:val="000000"/>
                <w:kern w:val="0"/>
                <w:szCs w:val="21"/>
              </w:rPr>
              <w:t>建议实施第二阶段体检人员名单</w:t>
            </w:r>
            <w:r>
              <w:rPr>
                <w:rFonts w:hint="eastAsia" w:asciiTheme="minorEastAsia" w:hAnsiTheme="minorEastAsia" w:cstheme="minorEastAsia"/>
                <w:color w:val="000000"/>
                <w:kern w:val="0"/>
                <w:szCs w:val="21"/>
              </w:rPr>
              <w:t>，第二阶段体检人员应是存在身体健康隐患确需通过第二阶段体检项目来进一步检查的人员。</w:t>
            </w:r>
          </w:p>
        </w:tc>
      </w:tr>
      <w:tr w14:paraId="6A675F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31" w:type="pct"/>
            <w:tcBorders>
              <w:tl2br w:val="nil"/>
              <w:tr2bl w:val="nil"/>
            </w:tcBorders>
            <w:vAlign w:val="center"/>
          </w:tcPr>
          <w:p w14:paraId="667BE406">
            <w:pPr>
              <w:widowControl/>
              <w:spacing w:line="360" w:lineRule="auto"/>
              <w:jc w:val="center"/>
              <w:textAlignment w:val="baseline"/>
              <w:rPr>
                <w:rFonts w:ascii="宋体" w:hAnsi="宋体" w:cs="宋体"/>
                <w:b w:val="0"/>
                <w:bCs w:val="0"/>
                <w:kern w:val="0"/>
                <w:sz w:val="21"/>
                <w:szCs w:val="21"/>
              </w:rPr>
            </w:pPr>
            <w:r>
              <w:rPr>
                <w:rFonts w:hint="eastAsia" w:asciiTheme="minorEastAsia" w:hAnsiTheme="minorEastAsia" w:cstheme="minorEastAsia"/>
                <w:color w:val="000000"/>
                <w:kern w:val="0"/>
                <w:szCs w:val="21"/>
              </w:rPr>
              <w:t>颅脑CT</w:t>
            </w:r>
          </w:p>
        </w:tc>
        <w:tc>
          <w:tcPr>
            <w:tcW w:w="1036" w:type="pct"/>
            <w:tcBorders>
              <w:tl2br w:val="nil"/>
              <w:tr2bl w:val="nil"/>
            </w:tcBorders>
            <w:vAlign w:val="center"/>
          </w:tcPr>
          <w:p w14:paraId="2854315B">
            <w:pPr>
              <w:widowControl/>
              <w:spacing w:line="360" w:lineRule="auto"/>
              <w:jc w:val="center"/>
              <w:textAlignment w:val="baseline"/>
              <w:rPr>
                <w:rFonts w:ascii="宋体" w:hAnsi="宋体" w:cs="宋体"/>
                <w:b w:val="0"/>
                <w:bCs w:val="0"/>
                <w:kern w:val="0"/>
                <w:sz w:val="21"/>
                <w:szCs w:val="21"/>
                <w:u w:val="single"/>
              </w:rPr>
            </w:pPr>
            <w:r>
              <w:rPr>
                <w:rFonts w:hint="eastAsia" w:cs="宋体"/>
                <w:b w:val="0"/>
                <w:bCs w:val="0"/>
                <w:kern w:val="0"/>
                <w:sz w:val="21"/>
                <w:szCs w:val="21"/>
                <w:u w:val="single"/>
                <w:lang w:val="en-US" w:eastAsia="zh-CN"/>
              </w:rPr>
              <w:t xml:space="preserve">      </w:t>
            </w:r>
            <w:r>
              <w:rPr>
                <w:rFonts w:hint="eastAsia" w:ascii="宋体" w:hAnsi="宋体" w:cs="宋体"/>
                <w:b w:val="0"/>
                <w:bCs w:val="0"/>
                <w:kern w:val="0"/>
                <w:sz w:val="21"/>
                <w:szCs w:val="21"/>
              </w:rPr>
              <w:t>人</w:t>
            </w:r>
          </w:p>
        </w:tc>
        <w:tc>
          <w:tcPr>
            <w:tcW w:w="1417" w:type="pct"/>
            <w:tcBorders>
              <w:tl2br w:val="nil"/>
              <w:tr2bl w:val="nil"/>
            </w:tcBorders>
            <w:vAlign w:val="center"/>
          </w:tcPr>
          <w:p w14:paraId="6453FE1C">
            <w:pPr>
              <w:spacing w:line="360" w:lineRule="auto"/>
              <w:jc w:val="center"/>
              <w:rPr>
                <w:rFonts w:ascii="宋体" w:hAnsi="宋体" w:cs="宋体"/>
                <w:b w:val="0"/>
                <w:bCs w:val="0"/>
                <w:kern w:val="0"/>
                <w:sz w:val="21"/>
                <w:szCs w:val="21"/>
                <w:u w:val="single"/>
              </w:rPr>
            </w:pPr>
            <w:r>
              <w:rPr>
                <w:rFonts w:hint="eastAsia" w:cs="宋体"/>
                <w:b w:val="0"/>
                <w:bCs w:val="0"/>
                <w:kern w:val="0"/>
                <w:sz w:val="21"/>
                <w:szCs w:val="21"/>
                <w:lang w:val="en-US" w:eastAsia="zh-CN"/>
              </w:rPr>
              <w:t>180</w:t>
            </w:r>
            <w:r>
              <w:rPr>
                <w:rFonts w:hint="eastAsia" w:ascii="宋体" w:hAnsi="宋体" w:cs="宋体"/>
                <w:b w:val="0"/>
                <w:bCs w:val="0"/>
                <w:kern w:val="0"/>
                <w:sz w:val="21"/>
                <w:szCs w:val="21"/>
              </w:rPr>
              <w:t>（元/人）</w:t>
            </w:r>
          </w:p>
        </w:tc>
        <w:tc>
          <w:tcPr>
            <w:tcW w:w="1416" w:type="pct"/>
            <w:vMerge w:val="continue"/>
            <w:tcBorders>
              <w:tl2br w:val="nil"/>
              <w:tr2bl w:val="nil"/>
            </w:tcBorders>
            <w:vAlign w:val="center"/>
          </w:tcPr>
          <w:p w14:paraId="1E3F115A">
            <w:pPr>
              <w:spacing w:line="360" w:lineRule="auto"/>
              <w:jc w:val="center"/>
              <w:rPr>
                <w:rFonts w:ascii="宋体" w:hAnsi="宋体" w:cs="宋体"/>
                <w:b w:val="0"/>
                <w:bCs w:val="0"/>
                <w:kern w:val="0"/>
                <w:sz w:val="21"/>
                <w:szCs w:val="21"/>
                <w:u w:val="single"/>
              </w:rPr>
            </w:pPr>
          </w:p>
        </w:tc>
      </w:tr>
    </w:tbl>
    <w:p w14:paraId="383AF47E">
      <w:pPr>
        <w:tabs>
          <w:tab w:val="left" w:pos="9030"/>
        </w:tabs>
        <w:snapToGrid w:val="0"/>
        <w:spacing w:line="360" w:lineRule="auto"/>
        <w:ind w:firstLine="440" w:firstLineChars="200"/>
        <w:rPr>
          <w:rStyle w:val="11"/>
          <w:rFonts w:ascii="宋体" w:hAnsi="宋体" w:cs="宋体"/>
          <w:b/>
          <w:bCs/>
          <w:szCs w:val="21"/>
          <w:highlight w:val="none"/>
        </w:rPr>
      </w:pPr>
      <w:r>
        <w:rPr>
          <w:rStyle w:val="11"/>
          <w:rFonts w:ascii="宋体" w:hAnsi="宋体" w:cs="宋体"/>
          <w:bCs/>
          <w:szCs w:val="21"/>
        </w:rPr>
        <w:t>（二）</w:t>
      </w:r>
      <w:r>
        <w:rPr>
          <w:rStyle w:val="11"/>
          <w:rFonts w:hint="eastAsia" w:ascii="宋体" w:hAnsi="宋体" w:cs="宋体"/>
          <w:bCs/>
          <w:szCs w:val="21"/>
        </w:rPr>
        <w:t>合同价款是指体检费用、交通费用、营养餐费、其他费用以及国家按现行税率征收的一切税费；本合同采用固定单价合同，不受市场价格变化因素的影响，</w:t>
      </w:r>
      <w:r>
        <w:rPr>
          <w:rStyle w:val="11"/>
          <w:rFonts w:hint="eastAsia" w:cs="宋体"/>
          <w:bCs/>
          <w:szCs w:val="21"/>
          <w:lang w:val="en-US" w:eastAsia="zh-CN"/>
        </w:rPr>
        <w:t>合同执行阶段以采购人规定的结算单价为执行价据实结算。</w:t>
      </w:r>
    </w:p>
    <w:p w14:paraId="4597EF73">
      <w:pPr>
        <w:snapToGrid w:val="0"/>
        <w:spacing w:line="360" w:lineRule="auto"/>
        <w:ind w:firstLine="442" w:firstLineChars="200"/>
        <w:rPr>
          <w:rStyle w:val="11"/>
          <w:rFonts w:ascii="宋体" w:hAnsi="宋体" w:cs="宋体"/>
          <w:b/>
          <w:bCs/>
          <w:szCs w:val="21"/>
          <w:highlight w:val="none"/>
        </w:rPr>
      </w:pPr>
      <w:r>
        <w:rPr>
          <w:rStyle w:val="11"/>
          <w:rFonts w:ascii="宋体" w:hAnsi="宋体" w:cs="宋体"/>
          <w:b/>
          <w:bCs/>
          <w:szCs w:val="21"/>
          <w:highlight w:val="none"/>
        </w:rPr>
        <w:t>二、款项结算</w:t>
      </w:r>
    </w:p>
    <w:p w14:paraId="7D1114CB">
      <w:pPr>
        <w:snapToGrid w:val="0"/>
        <w:spacing w:line="360" w:lineRule="auto"/>
        <w:ind w:firstLine="440" w:firstLineChars="200"/>
        <w:rPr>
          <w:rStyle w:val="11"/>
          <w:rFonts w:hint="default" w:ascii="宋体" w:hAnsi="宋体" w:eastAsia="宋体" w:cs="宋体"/>
          <w:b w:val="0"/>
          <w:bCs w:val="0"/>
          <w:szCs w:val="21"/>
          <w:lang w:val="en-US" w:eastAsia="zh-CN"/>
        </w:rPr>
      </w:pPr>
      <w:r>
        <w:rPr>
          <w:rStyle w:val="11"/>
          <w:rFonts w:hint="eastAsia" w:cs="宋体"/>
          <w:b w:val="0"/>
          <w:bCs w:val="0"/>
          <w:szCs w:val="21"/>
          <w:lang w:eastAsia="zh-CN"/>
        </w:rPr>
        <w:t>（</w:t>
      </w:r>
      <w:r>
        <w:rPr>
          <w:rStyle w:val="11"/>
          <w:rFonts w:hint="eastAsia" w:cs="宋体"/>
          <w:b w:val="0"/>
          <w:bCs w:val="0"/>
          <w:szCs w:val="21"/>
          <w:lang w:val="en-US" w:eastAsia="zh-CN"/>
        </w:rPr>
        <w:t>一</w:t>
      </w:r>
      <w:r>
        <w:rPr>
          <w:rStyle w:val="11"/>
          <w:rFonts w:hint="eastAsia" w:cs="宋体"/>
          <w:b w:val="0"/>
          <w:bCs w:val="0"/>
          <w:szCs w:val="21"/>
          <w:lang w:eastAsia="zh-CN"/>
        </w:rPr>
        <w:t>）</w:t>
      </w:r>
      <w:r>
        <w:rPr>
          <w:rStyle w:val="11"/>
          <w:rFonts w:hint="eastAsia" w:ascii="宋体" w:hAnsi="宋体" w:cs="宋体"/>
          <w:b w:val="0"/>
          <w:bCs w:val="0"/>
          <w:szCs w:val="21"/>
        </w:rPr>
        <w:t>合同签订后10个工作日内支付采购预算金额的50%作为预付款</w:t>
      </w:r>
      <w:r>
        <w:rPr>
          <w:rStyle w:val="11"/>
          <w:rFonts w:hint="eastAsia" w:cs="宋体"/>
          <w:b w:val="0"/>
          <w:bCs w:val="0"/>
          <w:szCs w:val="21"/>
          <w:lang w:eastAsia="zh-CN"/>
        </w:rPr>
        <w:t>，</w:t>
      </w:r>
      <w:r>
        <w:rPr>
          <w:rStyle w:val="11"/>
          <w:rFonts w:hint="eastAsia" w:cs="宋体"/>
          <w:b w:val="0"/>
          <w:bCs w:val="0"/>
          <w:szCs w:val="21"/>
          <w:lang w:val="en-US" w:eastAsia="zh-CN"/>
        </w:rPr>
        <w:t>乙方提供收款凭证。</w:t>
      </w:r>
    </w:p>
    <w:p w14:paraId="196323BB">
      <w:pPr>
        <w:snapToGrid w:val="0"/>
        <w:spacing w:line="360" w:lineRule="auto"/>
        <w:ind w:firstLine="440" w:firstLineChars="200"/>
        <w:rPr>
          <w:rStyle w:val="11"/>
          <w:rFonts w:hint="eastAsia" w:ascii="宋体" w:hAnsi="宋体" w:cs="宋体"/>
          <w:b w:val="0"/>
          <w:bCs w:val="0"/>
          <w:szCs w:val="21"/>
        </w:rPr>
      </w:pPr>
      <w:r>
        <w:rPr>
          <w:rStyle w:val="11"/>
          <w:rFonts w:hint="eastAsia" w:cs="宋体"/>
          <w:b w:val="0"/>
          <w:bCs w:val="0"/>
          <w:szCs w:val="21"/>
          <w:lang w:eastAsia="zh-CN"/>
        </w:rPr>
        <w:t>（</w:t>
      </w:r>
      <w:r>
        <w:rPr>
          <w:rStyle w:val="11"/>
          <w:rFonts w:hint="eastAsia" w:cs="宋体"/>
          <w:b w:val="0"/>
          <w:bCs w:val="0"/>
          <w:szCs w:val="21"/>
          <w:lang w:val="en-US" w:eastAsia="zh-CN"/>
        </w:rPr>
        <w:t>二</w:t>
      </w:r>
      <w:r>
        <w:rPr>
          <w:rStyle w:val="11"/>
          <w:rFonts w:hint="eastAsia" w:cs="宋体"/>
          <w:b w:val="0"/>
          <w:bCs w:val="0"/>
          <w:szCs w:val="21"/>
          <w:lang w:eastAsia="zh-CN"/>
        </w:rPr>
        <w:t>）</w:t>
      </w:r>
      <w:r>
        <w:rPr>
          <w:rStyle w:val="11"/>
          <w:rFonts w:hint="eastAsia" w:ascii="宋体" w:hAnsi="宋体" w:cs="宋体"/>
          <w:b w:val="0"/>
          <w:bCs w:val="0"/>
          <w:szCs w:val="21"/>
        </w:rPr>
        <w:t>体检项目完成后，由采购人按照工作程序进行验收、审计项目履约完成情况，并统计最终实际体检人数及对应的体检套餐。</w:t>
      </w:r>
    </w:p>
    <w:p w14:paraId="53E3EE6D">
      <w:pPr>
        <w:snapToGrid w:val="0"/>
        <w:spacing w:line="360" w:lineRule="auto"/>
        <w:ind w:firstLine="440" w:firstLineChars="200"/>
        <w:rPr>
          <w:rStyle w:val="11"/>
          <w:rFonts w:hint="default" w:ascii="宋体" w:hAnsi="宋体" w:eastAsia="宋体" w:cs="宋体"/>
          <w:b w:val="0"/>
          <w:bCs w:val="0"/>
          <w:szCs w:val="21"/>
          <w:lang w:val="en-US" w:eastAsia="zh-CN"/>
        </w:rPr>
      </w:pPr>
      <w:r>
        <w:rPr>
          <w:rStyle w:val="11"/>
          <w:rFonts w:hint="eastAsia" w:cs="宋体"/>
          <w:b w:val="0"/>
          <w:bCs w:val="0"/>
          <w:szCs w:val="21"/>
          <w:lang w:eastAsia="zh-CN"/>
        </w:rPr>
        <w:t>（</w:t>
      </w:r>
      <w:r>
        <w:rPr>
          <w:rStyle w:val="11"/>
          <w:rFonts w:hint="eastAsia" w:cs="宋体"/>
          <w:b w:val="0"/>
          <w:bCs w:val="0"/>
          <w:szCs w:val="21"/>
          <w:lang w:val="en-US" w:eastAsia="zh-CN"/>
        </w:rPr>
        <w:t>三</w:t>
      </w:r>
      <w:r>
        <w:rPr>
          <w:rStyle w:val="11"/>
          <w:rFonts w:hint="eastAsia" w:cs="宋体"/>
          <w:b w:val="0"/>
          <w:bCs w:val="0"/>
          <w:szCs w:val="21"/>
          <w:lang w:eastAsia="zh-CN"/>
        </w:rPr>
        <w:t>）</w:t>
      </w:r>
      <w:r>
        <w:rPr>
          <w:rStyle w:val="11"/>
          <w:rFonts w:hint="eastAsia" w:ascii="宋体" w:hAnsi="宋体" w:cs="宋体"/>
          <w:b w:val="0"/>
          <w:bCs w:val="0"/>
          <w:szCs w:val="21"/>
        </w:rPr>
        <w:t>验收、审计完成后，由供应商按照最终据实结算总金额给采购人开具全额发票，10个工作日内支付结算总金额剩余尾款</w:t>
      </w:r>
      <w:r>
        <w:rPr>
          <w:rStyle w:val="11"/>
          <w:rFonts w:hint="eastAsia" w:cs="宋体"/>
          <w:b w:val="0"/>
          <w:bCs w:val="0"/>
          <w:szCs w:val="21"/>
          <w:lang w:eastAsia="zh-CN"/>
        </w:rPr>
        <w:t>，</w:t>
      </w:r>
      <w:r>
        <w:rPr>
          <w:rStyle w:val="11"/>
          <w:rFonts w:hint="eastAsia" w:cs="宋体"/>
          <w:b w:val="0"/>
          <w:bCs w:val="0"/>
          <w:szCs w:val="21"/>
          <w:lang w:val="en-US" w:eastAsia="zh-CN"/>
        </w:rPr>
        <w:t>最终尾款支付金额以审计金额为准。若因乙方提供发票不合格或延期提供，甲方有权迟延履行付款义务且不承担违约责任。</w:t>
      </w:r>
    </w:p>
    <w:p w14:paraId="5CE64AFE">
      <w:pPr>
        <w:snapToGrid w:val="0"/>
        <w:spacing w:line="360" w:lineRule="auto"/>
        <w:ind w:firstLine="442" w:firstLineChars="200"/>
        <w:rPr>
          <w:rStyle w:val="11"/>
          <w:rFonts w:ascii="宋体" w:hAnsi="宋体" w:cs="宋体"/>
          <w:b/>
          <w:bCs/>
          <w:szCs w:val="21"/>
        </w:rPr>
      </w:pPr>
      <w:r>
        <w:rPr>
          <w:rStyle w:val="11"/>
          <w:rFonts w:ascii="宋体" w:hAnsi="宋体" w:cs="宋体"/>
          <w:b/>
          <w:bCs/>
          <w:szCs w:val="21"/>
        </w:rPr>
        <w:t>三、服务要求</w:t>
      </w:r>
    </w:p>
    <w:p w14:paraId="000AD71E">
      <w:pPr>
        <w:snapToGrid w:val="0"/>
        <w:spacing w:line="360" w:lineRule="auto"/>
        <w:ind w:firstLine="440" w:firstLineChars="200"/>
        <w:rPr>
          <w:rStyle w:val="11"/>
          <w:rFonts w:ascii="宋体" w:hAnsi="宋体" w:cs="宋体"/>
          <w:bCs/>
          <w:szCs w:val="21"/>
        </w:rPr>
      </w:pPr>
      <w:r>
        <w:rPr>
          <w:rStyle w:val="11"/>
          <w:rFonts w:hint="eastAsia" w:ascii="宋体" w:hAnsi="宋体" w:cs="宋体"/>
          <w:bCs/>
          <w:szCs w:val="21"/>
        </w:rPr>
        <w:t>（一）</w:t>
      </w:r>
      <w:r>
        <w:rPr>
          <w:rStyle w:val="11"/>
          <w:rFonts w:ascii="宋体" w:hAnsi="宋体" w:cs="宋体"/>
          <w:bCs/>
          <w:szCs w:val="21"/>
        </w:rPr>
        <w:t>服务地点：</w:t>
      </w:r>
    </w:p>
    <w:p w14:paraId="2A8E1A79">
      <w:pPr>
        <w:snapToGrid w:val="0"/>
        <w:spacing w:line="360" w:lineRule="auto"/>
        <w:ind w:firstLine="440" w:firstLineChars="200"/>
        <w:rPr>
          <w:rStyle w:val="11"/>
          <w:rFonts w:ascii="宋体" w:hAnsi="宋体" w:cs="宋体"/>
          <w:b w:val="0"/>
          <w:bCs w:val="0"/>
          <w:szCs w:val="21"/>
        </w:rPr>
      </w:pPr>
      <w:r>
        <w:rPr>
          <w:rStyle w:val="11"/>
          <w:rFonts w:ascii="宋体" w:hAnsi="宋体" w:cs="宋体"/>
          <w:b w:val="0"/>
          <w:bCs w:val="0"/>
          <w:szCs w:val="21"/>
        </w:rPr>
        <w:t>（</w:t>
      </w:r>
      <w:r>
        <w:rPr>
          <w:rStyle w:val="11"/>
          <w:rFonts w:hint="eastAsia" w:ascii="宋体" w:hAnsi="宋体" w:cs="宋体"/>
          <w:b w:val="0"/>
          <w:bCs w:val="0"/>
          <w:szCs w:val="21"/>
        </w:rPr>
        <w:t>二</w:t>
      </w:r>
      <w:r>
        <w:rPr>
          <w:rStyle w:val="11"/>
          <w:rFonts w:ascii="宋体" w:hAnsi="宋体" w:cs="宋体"/>
          <w:b w:val="0"/>
          <w:bCs w:val="0"/>
          <w:szCs w:val="21"/>
        </w:rPr>
        <w:t>）</w:t>
      </w:r>
      <w:r>
        <w:rPr>
          <w:rStyle w:val="11"/>
          <w:rFonts w:hint="eastAsia" w:cs="宋体"/>
          <w:b w:val="0"/>
          <w:bCs w:val="0"/>
          <w:szCs w:val="21"/>
          <w:lang w:val="en-US" w:eastAsia="zh-CN"/>
        </w:rPr>
        <w:t>服务期限</w:t>
      </w:r>
      <w:r>
        <w:rPr>
          <w:rStyle w:val="11"/>
          <w:rFonts w:ascii="宋体" w:hAnsi="宋体" w:cs="宋体"/>
          <w:b w:val="0"/>
          <w:bCs w:val="0"/>
          <w:szCs w:val="21"/>
        </w:rPr>
        <w:t>：</w:t>
      </w:r>
    </w:p>
    <w:p w14:paraId="52BC9667">
      <w:pPr>
        <w:snapToGrid w:val="0"/>
        <w:spacing w:line="360" w:lineRule="auto"/>
        <w:ind w:firstLine="440" w:firstLineChars="200"/>
        <w:jc w:val="left"/>
        <w:rPr>
          <w:rStyle w:val="11"/>
          <w:rFonts w:ascii="宋体" w:hAnsi="宋体"/>
          <w:color w:val="000000"/>
          <w:kern w:val="0"/>
          <w:szCs w:val="21"/>
        </w:rPr>
      </w:pPr>
      <w:r>
        <w:rPr>
          <w:rStyle w:val="11"/>
          <w:rFonts w:ascii="宋体" w:hAnsi="宋体"/>
          <w:color w:val="000000"/>
          <w:kern w:val="0"/>
          <w:szCs w:val="21"/>
        </w:rPr>
        <w:t>（</w:t>
      </w:r>
      <w:r>
        <w:rPr>
          <w:rStyle w:val="11"/>
          <w:rFonts w:hint="eastAsia" w:ascii="宋体" w:hAnsi="宋体"/>
          <w:color w:val="000000"/>
          <w:kern w:val="0"/>
          <w:szCs w:val="21"/>
        </w:rPr>
        <w:t>三</w:t>
      </w:r>
      <w:r>
        <w:rPr>
          <w:rStyle w:val="11"/>
          <w:rFonts w:ascii="宋体" w:hAnsi="宋体"/>
          <w:color w:val="000000"/>
          <w:kern w:val="0"/>
          <w:szCs w:val="21"/>
        </w:rPr>
        <w:t>）服务内容</w:t>
      </w:r>
      <w:r>
        <w:rPr>
          <w:rStyle w:val="11"/>
          <w:rFonts w:hint="eastAsia" w:ascii="宋体" w:hAnsi="宋体"/>
          <w:color w:val="000000"/>
          <w:kern w:val="0"/>
          <w:szCs w:val="21"/>
        </w:rPr>
        <w:t>：（由甲乙双方在签订合同时根据竞争性磋商文件及竞争性磋商响应文件具体内容商定）</w:t>
      </w:r>
    </w:p>
    <w:p w14:paraId="4CFCEED2">
      <w:pPr>
        <w:snapToGrid w:val="0"/>
        <w:spacing w:line="360" w:lineRule="auto"/>
        <w:ind w:firstLine="442" w:firstLineChars="200"/>
        <w:rPr>
          <w:rStyle w:val="11"/>
          <w:rFonts w:ascii="宋体" w:hAnsi="宋体" w:cs="宋体"/>
          <w:b/>
          <w:bCs/>
          <w:color w:val="000000"/>
          <w:szCs w:val="21"/>
        </w:rPr>
      </w:pPr>
      <w:r>
        <w:rPr>
          <w:rStyle w:val="11"/>
          <w:rFonts w:ascii="宋体" w:hAnsi="宋体" w:cs="宋体"/>
          <w:b/>
          <w:bCs/>
          <w:color w:val="000000"/>
          <w:szCs w:val="21"/>
        </w:rPr>
        <w:t>四、验收</w:t>
      </w:r>
    </w:p>
    <w:p w14:paraId="5751E584">
      <w:pPr>
        <w:snapToGrid w:val="0"/>
        <w:spacing w:line="360" w:lineRule="auto"/>
        <w:ind w:firstLine="440" w:firstLineChars="200"/>
        <w:rPr>
          <w:rStyle w:val="11"/>
          <w:rFonts w:ascii="宋体" w:hAnsi="宋体" w:cs="宋体"/>
          <w:bCs/>
          <w:szCs w:val="21"/>
        </w:rPr>
      </w:pPr>
      <w:r>
        <w:rPr>
          <w:rStyle w:val="11"/>
          <w:rFonts w:ascii="宋体" w:hAnsi="宋体"/>
          <w:szCs w:val="21"/>
        </w:rPr>
        <w:t>（一）本项目验收费用，由乙方自行承担。</w:t>
      </w:r>
    </w:p>
    <w:p w14:paraId="7C55E0FB">
      <w:pPr>
        <w:snapToGrid w:val="0"/>
        <w:spacing w:line="360" w:lineRule="auto"/>
        <w:ind w:firstLine="440" w:firstLineChars="200"/>
        <w:rPr>
          <w:rStyle w:val="11"/>
          <w:rFonts w:ascii="宋体" w:hAnsi="宋体" w:cs="宋体"/>
          <w:bCs/>
          <w:szCs w:val="21"/>
        </w:rPr>
      </w:pPr>
      <w:r>
        <w:rPr>
          <w:rStyle w:val="11"/>
          <w:rFonts w:ascii="宋体" w:hAnsi="宋体" w:cs="宋体"/>
          <w:bCs/>
          <w:szCs w:val="21"/>
        </w:rPr>
        <w:t>（二）</w:t>
      </w:r>
      <w:r>
        <w:rPr>
          <w:rStyle w:val="11"/>
          <w:rFonts w:ascii="宋体" w:hAnsi="宋体"/>
          <w:szCs w:val="21"/>
        </w:rPr>
        <w:t>验收合格后，填写项目验收单并向甲方提交所有资料，以便甲方日后管理和维护。</w:t>
      </w:r>
      <w:r>
        <w:rPr>
          <w:rStyle w:val="11"/>
          <w:rFonts w:ascii="宋体" w:hAnsi="宋体" w:cs="宋体"/>
          <w:bCs/>
          <w:szCs w:val="21"/>
        </w:rPr>
        <w:t xml:space="preserve"> </w:t>
      </w:r>
    </w:p>
    <w:p w14:paraId="34232DC9">
      <w:pPr>
        <w:snapToGrid w:val="0"/>
        <w:spacing w:line="360" w:lineRule="auto"/>
        <w:ind w:firstLine="440" w:firstLineChars="200"/>
        <w:rPr>
          <w:rStyle w:val="11"/>
          <w:rFonts w:ascii="宋体" w:hAnsi="宋体" w:cs="宋体"/>
          <w:bCs/>
          <w:szCs w:val="21"/>
        </w:rPr>
      </w:pPr>
      <w:r>
        <w:rPr>
          <w:rStyle w:val="11"/>
          <w:rFonts w:ascii="宋体" w:hAnsi="宋体" w:cs="宋体"/>
          <w:bCs/>
          <w:szCs w:val="21"/>
        </w:rPr>
        <w:t>（三）验收依据：</w:t>
      </w:r>
    </w:p>
    <w:p w14:paraId="22AEDD1D">
      <w:pPr>
        <w:snapToGrid w:val="0"/>
        <w:spacing w:line="360" w:lineRule="auto"/>
        <w:ind w:firstLine="440" w:firstLineChars="200"/>
        <w:rPr>
          <w:rStyle w:val="11"/>
          <w:rFonts w:ascii="宋体" w:hAnsi="宋体" w:cs="宋体"/>
          <w:bCs/>
          <w:szCs w:val="21"/>
        </w:rPr>
      </w:pPr>
      <w:r>
        <w:rPr>
          <w:rStyle w:val="11"/>
          <w:rFonts w:ascii="宋体" w:hAnsi="宋体" w:cs="宋体"/>
          <w:bCs/>
          <w:szCs w:val="21"/>
        </w:rPr>
        <w:t>1.本合同及附加文本；</w:t>
      </w:r>
    </w:p>
    <w:p w14:paraId="3DCAD499">
      <w:pPr>
        <w:snapToGrid w:val="0"/>
        <w:spacing w:line="360" w:lineRule="auto"/>
        <w:ind w:firstLine="440" w:firstLineChars="200"/>
        <w:rPr>
          <w:rStyle w:val="11"/>
          <w:rFonts w:ascii="宋体" w:hAnsi="宋体" w:cs="宋体" w:eastAsiaTheme="minorEastAsia"/>
          <w:b w:val="0"/>
          <w:bCs/>
          <w:szCs w:val="21"/>
        </w:rPr>
      </w:pPr>
      <w:r>
        <w:rPr>
          <w:rStyle w:val="11"/>
          <w:rFonts w:ascii="宋体" w:hAnsi="宋体" w:cs="宋体"/>
          <w:bCs/>
          <w:szCs w:val="21"/>
        </w:rPr>
        <w:t>2.</w:t>
      </w:r>
      <w:r>
        <w:rPr>
          <w:rStyle w:val="11"/>
          <w:rFonts w:hint="eastAsia" w:ascii="宋体" w:hAnsi="宋体" w:cs="宋体"/>
          <w:bCs/>
          <w:szCs w:val="21"/>
        </w:rPr>
        <w:t>竞争性</w:t>
      </w:r>
      <w:r>
        <w:rPr>
          <w:rStyle w:val="11"/>
          <w:rFonts w:hint="eastAsia" w:ascii="宋体" w:hAnsi="宋体" w:cs="宋体" w:eastAsiaTheme="minorEastAsia"/>
          <w:bCs/>
          <w:szCs w:val="21"/>
        </w:rPr>
        <w:t>磋商文件</w:t>
      </w:r>
      <w:r>
        <w:rPr>
          <w:rStyle w:val="11"/>
          <w:rFonts w:ascii="宋体" w:hAnsi="宋体" w:cs="宋体" w:eastAsiaTheme="minorEastAsia"/>
          <w:bCs/>
          <w:szCs w:val="21"/>
        </w:rPr>
        <w:t>、</w:t>
      </w:r>
      <w:r>
        <w:rPr>
          <w:rStyle w:val="11"/>
          <w:rFonts w:hint="eastAsia" w:ascii="宋体" w:hAnsi="宋体" w:cs="宋体" w:eastAsiaTheme="minorEastAsia"/>
          <w:bCs/>
          <w:szCs w:val="21"/>
          <w:lang w:val="en-US" w:eastAsia="zh-CN"/>
        </w:rPr>
        <w:t>成交人</w:t>
      </w:r>
      <w:r>
        <w:rPr>
          <w:rStyle w:val="11"/>
          <w:rFonts w:ascii="宋体" w:hAnsi="宋体" w:cs="宋体" w:eastAsiaTheme="minorEastAsia"/>
          <w:bCs/>
          <w:szCs w:val="21"/>
        </w:rPr>
        <w:t>的</w:t>
      </w:r>
      <w:r>
        <w:rPr>
          <w:rStyle w:val="11"/>
          <w:rFonts w:hint="eastAsia" w:ascii="宋体" w:hAnsi="宋体" w:cs="宋体" w:eastAsiaTheme="minorEastAsia"/>
          <w:bCs/>
          <w:szCs w:val="21"/>
          <w:lang w:val="en-US" w:eastAsia="zh-CN"/>
        </w:rPr>
        <w:t>响应</w:t>
      </w:r>
      <w:r>
        <w:rPr>
          <w:rStyle w:val="11"/>
          <w:rFonts w:ascii="宋体" w:hAnsi="宋体" w:cs="宋体" w:eastAsiaTheme="minorEastAsia"/>
          <w:bCs/>
          <w:szCs w:val="21"/>
        </w:rPr>
        <w:t>文件及澄清函（</w:t>
      </w:r>
      <w:r>
        <w:rPr>
          <w:rStyle w:val="11"/>
          <w:rFonts w:ascii="宋体" w:hAnsi="宋体" w:cs="宋体" w:eastAsiaTheme="minorEastAsia"/>
          <w:b w:val="0"/>
          <w:bCs/>
          <w:szCs w:val="21"/>
        </w:rPr>
        <w:t>若有）；</w:t>
      </w:r>
    </w:p>
    <w:p w14:paraId="5EE25464">
      <w:pPr>
        <w:snapToGrid w:val="0"/>
        <w:spacing w:line="360" w:lineRule="auto"/>
        <w:ind w:firstLine="440" w:firstLineChars="200"/>
        <w:rPr>
          <w:rStyle w:val="11"/>
          <w:rFonts w:ascii="宋体" w:hAnsi="宋体" w:cs="宋体" w:eastAsiaTheme="minorEastAsia"/>
          <w:b w:val="0"/>
          <w:bCs/>
          <w:szCs w:val="21"/>
        </w:rPr>
      </w:pPr>
      <w:r>
        <w:rPr>
          <w:rStyle w:val="11"/>
          <w:rFonts w:ascii="宋体" w:hAnsi="宋体" w:cs="宋体" w:eastAsiaTheme="minorEastAsia"/>
          <w:b w:val="0"/>
          <w:bCs/>
          <w:szCs w:val="21"/>
        </w:rPr>
        <w:t>3.国家相应的标准、规范</w:t>
      </w:r>
    </w:p>
    <w:p w14:paraId="0D39DB35">
      <w:pPr>
        <w:snapToGrid w:val="0"/>
        <w:spacing w:line="360" w:lineRule="auto"/>
        <w:ind w:firstLine="440" w:firstLineChars="200"/>
        <w:rPr>
          <w:rStyle w:val="11"/>
          <w:rFonts w:hint="eastAsia" w:ascii="宋体" w:hAnsi="宋体" w:cs="宋体" w:eastAsiaTheme="minorEastAsia"/>
          <w:b w:val="0"/>
          <w:bCs/>
          <w:szCs w:val="21"/>
          <w:lang w:eastAsia="zh-CN"/>
        </w:rPr>
      </w:pPr>
      <w:r>
        <w:rPr>
          <w:rStyle w:val="11"/>
          <w:rFonts w:hint="eastAsia" w:ascii="宋体" w:hAnsi="宋体" w:cs="宋体" w:eastAsiaTheme="minorEastAsia"/>
          <w:b w:val="0"/>
          <w:bCs/>
          <w:szCs w:val="21"/>
          <w:lang w:eastAsia="zh-CN"/>
        </w:rPr>
        <w:t>（</w:t>
      </w:r>
      <w:r>
        <w:rPr>
          <w:rStyle w:val="11"/>
          <w:rFonts w:hint="eastAsia" w:ascii="宋体" w:hAnsi="宋体" w:cs="宋体" w:eastAsiaTheme="minorEastAsia"/>
          <w:b w:val="0"/>
          <w:bCs/>
          <w:szCs w:val="21"/>
          <w:lang w:val="en-US" w:eastAsia="zh-CN"/>
        </w:rPr>
        <w:t>四</w:t>
      </w:r>
      <w:r>
        <w:rPr>
          <w:rStyle w:val="11"/>
          <w:rFonts w:hint="eastAsia" w:ascii="宋体" w:hAnsi="宋体" w:cs="宋体" w:eastAsiaTheme="minorEastAsia"/>
          <w:b w:val="0"/>
          <w:bCs/>
          <w:szCs w:val="21"/>
          <w:lang w:eastAsia="zh-CN"/>
        </w:rPr>
        <w:t>）</w:t>
      </w:r>
      <w:r>
        <w:rPr>
          <w:rStyle w:val="11"/>
          <w:rFonts w:hint="eastAsia" w:ascii="宋体" w:hAnsi="宋体" w:cs="宋体" w:eastAsiaTheme="minorEastAsia"/>
          <w:b w:val="0"/>
          <w:bCs/>
          <w:szCs w:val="21"/>
        </w:rPr>
        <w:t>采购人应按照政府采购合同约定的技术、服务、安全标准组织对供应商服务内容进行验收。验收内容包含具体体检人数、套餐项目完成情况、实际产生费用以及其他服务内容的履约完成情况。</w:t>
      </w:r>
    </w:p>
    <w:p w14:paraId="1B196F43">
      <w:pPr>
        <w:snapToGrid w:val="0"/>
        <w:spacing w:line="360" w:lineRule="auto"/>
        <w:ind w:firstLine="440" w:firstLineChars="200"/>
        <w:jc w:val="left"/>
        <w:rPr>
          <w:rStyle w:val="11"/>
          <w:rFonts w:hint="eastAsia" w:ascii="宋体" w:hAnsi="宋体" w:eastAsia="宋体" w:cs="宋体"/>
          <w:b w:val="0"/>
          <w:bCs/>
          <w:color w:val="000000"/>
          <w:kern w:val="0"/>
          <w:szCs w:val="21"/>
          <w:lang w:eastAsia="zh-CN"/>
        </w:rPr>
      </w:pPr>
      <w:r>
        <w:rPr>
          <w:rStyle w:val="11"/>
          <w:rFonts w:hint="eastAsia" w:cs="宋体"/>
          <w:b w:val="0"/>
          <w:bCs/>
          <w:color w:val="000000"/>
          <w:kern w:val="0"/>
          <w:szCs w:val="21"/>
          <w:lang w:eastAsia="zh-CN"/>
        </w:rPr>
        <w:t>（</w:t>
      </w:r>
      <w:r>
        <w:rPr>
          <w:rStyle w:val="11"/>
          <w:rFonts w:hint="eastAsia" w:cs="宋体"/>
          <w:b w:val="0"/>
          <w:bCs/>
          <w:color w:val="000000"/>
          <w:kern w:val="0"/>
          <w:szCs w:val="21"/>
          <w:lang w:val="en-US" w:eastAsia="zh-CN"/>
        </w:rPr>
        <w:t>五</w:t>
      </w:r>
      <w:r>
        <w:rPr>
          <w:rStyle w:val="11"/>
          <w:rFonts w:hint="eastAsia" w:cs="宋体"/>
          <w:b w:val="0"/>
          <w:bCs/>
          <w:color w:val="000000"/>
          <w:kern w:val="0"/>
          <w:szCs w:val="21"/>
          <w:lang w:eastAsia="zh-CN"/>
        </w:rPr>
        <w:t>）供应商应向采购人提交项目实施过程中的所有资料，主动配合采购人完成验收工作程序。</w:t>
      </w:r>
    </w:p>
    <w:p w14:paraId="102AC453">
      <w:pPr>
        <w:snapToGrid w:val="0"/>
        <w:spacing w:line="360" w:lineRule="auto"/>
        <w:ind w:firstLine="440" w:firstLineChars="200"/>
        <w:jc w:val="left"/>
        <w:rPr>
          <w:rStyle w:val="11"/>
          <w:rFonts w:hint="eastAsia" w:ascii="宋体" w:hAnsi="宋体" w:eastAsia="宋体" w:cs="宋体"/>
          <w:b w:val="0"/>
          <w:bCs/>
          <w:color w:val="000000"/>
          <w:kern w:val="0"/>
          <w:szCs w:val="21"/>
          <w:lang w:eastAsia="zh-CN"/>
        </w:rPr>
      </w:pPr>
      <w:r>
        <w:rPr>
          <w:rStyle w:val="11"/>
          <w:rFonts w:hint="eastAsia" w:cs="宋体"/>
          <w:b w:val="0"/>
          <w:bCs/>
          <w:color w:val="000000"/>
          <w:kern w:val="0"/>
          <w:szCs w:val="21"/>
          <w:lang w:eastAsia="zh-CN"/>
        </w:rPr>
        <w:t>（</w:t>
      </w:r>
      <w:r>
        <w:rPr>
          <w:rStyle w:val="11"/>
          <w:rFonts w:hint="eastAsia" w:cs="宋体"/>
          <w:b w:val="0"/>
          <w:bCs/>
          <w:color w:val="000000"/>
          <w:kern w:val="0"/>
          <w:szCs w:val="21"/>
          <w:lang w:val="en-US" w:eastAsia="zh-CN"/>
        </w:rPr>
        <w:t>六</w:t>
      </w:r>
      <w:r>
        <w:rPr>
          <w:rStyle w:val="11"/>
          <w:rFonts w:hint="eastAsia" w:cs="宋体"/>
          <w:b w:val="0"/>
          <w:bCs/>
          <w:color w:val="000000"/>
          <w:kern w:val="0"/>
          <w:szCs w:val="21"/>
          <w:lang w:eastAsia="zh-CN"/>
        </w:rPr>
        <w:t>）验收合格后，填写政府采购项目验收单（一式伍份）。</w:t>
      </w:r>
    </w:p>
    <w:p w14:paraId="47B4C21D">
      <w:pPr>
        <w:snapToGrid w:val="0"/>
        <w:spacing w:line="360" w:lineRule="auto"/>
        <w:ind w:firstLine="442" w:firstLineChars="200"/>
        <w:jc w:val="left"/>
        <w:rPr>
          <w:rStyle w:val="11"/>
          <w:rFonts w:hint="default" w:ascii="宋体" w:hAnsi="宋体" w:eastAsia="宋体" w:cs="宋体"/>
          <w:b/>
          <w:bCs/>
          <w:color w:val="000000"/>
          <w:kern w:val="0"/>
          <w:szCs w:val="21"/>
          <w:lang w:val="en-US" w:eastAsia="zh-CN"/>
        </w:rPr>
      </w:pPr>
      <w:r>
        <w:rPr>
          <w:rStyle w:val="11"/>
          <w:rFonts w:hint="eastAsia" w:cs="宋体"/>
          <w:b/>
          <w:bCs/>
          <w:color w:val="000000"/>
          <w:kern w:val="0"/>
          <w:szCs w:val="21"/>
          <w:lang w:val="en-US" w:eastAsia="zh-CN"/>
        </w:rPr>
        <w:t>五、采购人的权利与义务</w:t>
      </w:r>
    </w:p>
    <w:p w14:paraId="616CAD2F">
      <w:pPr>
        <w:pStyle w:val="12"/>
        <w:spacing w:after="0"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一</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采购人负责人或联系方式有变动时，应提前通知供应商。</w:t>
      </w:r>
    </w:p>
    <w:p w14:paraId="213CDD03">
      <w:pPr>
        <w:pStyle w:val="12"/>
        <w:spacing w:after="0"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二</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采购人负责人有义务将供应商对其所实行的承诺及优惠向体检人员传达。</w:t>
      </w:r>
    </w:p>
    <w:p w14:paraId="36F77603">
      <w:pPr>
        <w:pStyle w:val="12"/>
        <w:spacing w:after="0"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三</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采购人作为社会监督员，应积极监督供应商医务人员体检服务态度等各项工作，并及时提出合理建议。</w:t>
      </w:r>
    </w:p>
    <w:p w14:paraId="7DF041E6">
      <w:pPr>
        <w:snapToGrid w:val="0"/>
        <w:spacing w:line="360" w:lineRule="auto"/>
        <w:ind w:firstLine="442" w:firstLineChars="200"/>
        <w:jc w:val="left"/>
        <w:rPr>
          <w:rStyle w:val="11"/>
          <w:rFonts w:hint="default" w:ascii="宋体" w:hAnsi="宋体" w:eastAsia="宋体" w:cs="宋体"/>
          <w:b/>
          <w:bCs/>
          <w:color w:val="000000"/>
          <w:kern w:val="0"/>
          <w:szCs w:val="21"/>
          <w:lang w:val="en-US" w:eastAsia="zh-CN"/>
        </w:rPr>
      </w:pPr>
      <w:r>
        <w:rPr>
          <w:rStyle w:val="11"/>
          <w:rFonts w:hint="eastAsia" w:cs="宋体"/>
          <w:b/>
          <w:bCs/>
          <w:color w:val="000000"/>
          <w:kern w:val="0"/>
          <w:szCs w:val="21"/>
          <w:lang w:val="en-US" w:eastAsia="zh-CN"/>
        </w:rPr>
        <w:t>六、供应商的权利与义务</w:t>
      </w:r>
    </w:p>
    <w:p w14:paraId="494FC551">
      <w:pPr>
        <w:pStyle w:val="12"/>
        <w:spacing w:after="0"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供应商应承诺给采购人以下方面的承诺及优惠：</w:t>
      </w:r>
    </w:p>
    <w:p w14:paraId="1451A2E0">
      <w:pPr>
        <w:pStyle w:val="12"/>
        <w:spacing w:after="0"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一</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供应商应积极配合采购人提供免费专车接送。</w:t>
      </w:r>
    </w:p>
    <w:p w14:paraId="1AE214D0">
      <w:pPr>
        <w:pStyle w:val="12"/>
        <w:spacing w:after="0"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二</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供应商保证所有体检结果的真实性，如采购人对体检结果有异议，供应商需派人陪同被体检者到采购人指定的任意医院复查，如结果一致，费用由采购人负责；结果不一致，由供应商承担所有检查费用。采购人如果发现供应商体检报告有弄虚作假等情况，采购人有权利终止协议。</w:t>
      </w:r>
    </w:p>
    <w:p w14:paraId="6E453432">
      <w:pPr>
        <w:pStyle w:val="12"/>
        <w:spacing w:after="0"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三</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对需复查辅警给予优惠价格，如复查辅警较多（超过50人），医院需再次提供免费专车接送服务。</w:t>
      </w:r>
    </w:p>
    <w:p w14:paraId="6B040B24">
      <w:pPr>
        <w:pStyle w:val="12"/>
        <w:spacing w:after="0" w:line="360" w:lineRule="auto"/>
        <w:ind w:firstLine="420" w:firstLineChars="200"/>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四</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采购人</w:t>
      </w:r>
      <w:r>
        <w:rPr>
          <w:rFonts w:hint="eastAsia" w:asciiTheme="minorEastAsia" w:hAnsiTheme="minorEastAsia" w:eastAsiaTheme="minorEastAsia" w:cstheme="minorEastAsia"/>
          <w:color w:val="000000"/>
          <w:sz w:val="21"/>
          <w:szCs w:val="21"/>
          <w:lang w:val="en-US" w:eastAsia="zh-CN"/>
        </w:rPr>
        <w:t>所安排的体检人员因体检发现患病者可持体检报告到体检机构以20%的优惠复诊治疗。</w:t>
      </w:r>
    </w:p>
    <w:p w14:paraId="1728FAF7">
      <w:pPr>
        <w:snapToGrid w:val="0"/>
        <w:spacing w:line="360" w:lineRule="auto"/>
        <w:ind w:firstLine="442" w:firstLineChars="200"/>
        <w:jc w:val="left"/>
        <w:rPr>
          <w:rStyle w:val="11"/>
          <w:rFonts w:hint="default" w:ascii="宋体" w:hAnsi="宋体" w:eastAsia="宋体" w:cs="宋体"/>
          <w:b/>
          <w:bCs/>
          <w:color w:val="000000"/>
          <w:kern w:val="0"/>
          <w:szCs w:val="21"/>
          <w:lang w:val="en-US" w:eastAsia="zh-CN"/>
        </w:rPr>
      </w:pPr>
      <w:r>
        <w:rPr>
          <w:rStyle w:val="11"/>
          <w:rFonts w:hint="eastAsia" w:cs="宋体"/>
          <w:b/>
          <w:bCs/>
          <w:color w:val="000000"/>
          <w:kern w:val="0"/>
          <w:szCs w:val="21"/>
          <w:lang w:val="en-US" w:eastAsia="zh-CN"/>
        </w:rPr>
        <w:t>七、保密约定</w:t>
      </w:r>
    </w:p>
    <w:p w14:paraId="4D6B592D">
      <w:pPr>
        <w:pStyle w:val="12"/>
        <w:spacing w:after="0"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一</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供应商应对采购人的人员信息资料或其他文件或信息的内容保守秘密，未经采购人书面事先同意，不得向任何第三方披露。供应商可仅向其确有知悉必要的雇员披露采购人提供的相关资料，但同时须指示其雇员遵守本条规定的保密及不披露义务。供应商应仅为本次服务目的而复制和使用相关资料。</w:t>
      </w:r>
    </w:p>
    <w:p w14:paraId="2A48E133">
      <w:pPr>
        <w:pStyle w:val="12"/>
        <w:spacing w:after="0"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二</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rPr>
        <w:t>除非得到采购人的书面许可，供应商不得将服务内容及服务过程中获得的采购人的人员信息、体检报告等相关资料向任何第三方泄露。</w:t>
      </w:r>
    </w:p>
    <w:p w14:paraId="09E1CE90">
      <w:pPr>
        <w:pStyle w:val="12"/>
        <w:spacing w:after="0" w:line="360" w:lineRule="auto"/>
        <w:ind w:firstLine="420" w:firstLineChars="200"/>
        <w:rPr>
          <w:rStyle w:val="11"/>
          <w:rFonts w:hint="default" w:ascii="宋体" w:hAnsi="宋体" w:cs="宋体" w:eastAsiaTheme="minorEastAsia"/>
          <w:b/>
          <w:bCs/>
          <w:szCs w:val="21"/>
          <w:lang w:val="en-US" w:eastAsia="zh-CN"/>
        </w:rPr>
      </w:pP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三</w:t>
      </w:r>
      <w:r>
        <w:rPr>
          <w:rFonts w:hint="eastAsia" w:asciiTheme="minorEastAsia" w:hAnsiTheme="minorEastAsia" w:eastAsiaTheme="minorEastAsia" w:cstheme="minorEastAsia"/>
          <w:color w:val="000000"/>
          <w:sz w:val="21"/>
          <w:szCs w:val="21"/>
          <w:lang w:eastAsia="zh-CN"/>
        </w:rPr>
        <w:t>）</w:t>
      </w:r>
      <w:r>
        <w:rPr>
          <w:rFonts w:hint="eastAsia" w:asciiTheme="minorEastAsia" w:hAnsiTheme="minorEastAsia" w:eastAsiaTheme="minorEastAsia" w:cstheme="minorEastAsia"/>
          <w:color w:val="000000"/>
          <w:sz w:val="21"/>
          <w:szCs w:val="21"/>
          <w:lang w:val="en-US" w:eastAsia="zh-CN"/>
        </w:rPr>
        <w:t>本保密义务应在本合同服务期满、解除或终止后仍然有效。</w:t>
      </w:r>
    </w:p>
    <w:p w14:paraId="0AFA59A7">
      <w:pPr>
        <w:snapToGrid w:val="0"/>
        <w:spacing w:line="360" w:lineRule="auto"/>
        <w:ind w:firstLine="442" w:firstLineChars="200"/>
        <w:rPr>
          <w:rStyle w:val="11"/>
          <w:rFonts w:ascii="宋体" w:hAnsi="宋体" w:cs="宋体"/>
          <w:b/>
          <w:bCs/>
          <w:szCs w:val="21"/>
        </w:rPr>
      </w:pPr>
      <w:r>
        <w:rPr>
          <w:rStyle w:val="11"/>
          <w:rFonts w:hint="eastAsia" w:cs="宋体"/>
          <w:b/>
          <w:bCs/>
          <w:szCs w:val="21"/>
          <w:lang w:val="en-US" w:eastAsia="zh-CN"/>
        </w:rPr>
        <w:t>八</w:t>
      </w:r>
      <w:r>
        <w:rPr>
          <w:rStyle w:val="11"/>
          <w:rFonts w:ascii="宋体" w:hAnsi="宋体" w:cs="宋体"/>
          <w:b/>
          <w:bCs/>
          <w:szCs w:val="21"/>
        </w:rPr>
        <w:t>、</w:t>
      </w:r>
      <w:r>
        <w:rPr>
          <w:rStyle w:val="11"/>
          <w:rFonts w:hint="eastAsia" w:ascii="宋体" w:hAnsi="宋体" w:cs="宋体"/>
          <w:b/>
          <w:bCs/>
          <w:szCs w:val="21"/>
        </w:rPr>
        <w:t>违约责任及赔偿损失的计算办法</w:t>
      </w:r>
    </w:p>
    <w:p w14:paraId="5629625A">
      <w:pPr>
        <w:snapToGrid w:val="0"/>
        <w:spacing w:line="360" w:lineRule="auto"/>
        <w:ind w:firstLine="440" w:firstLineChars="200"/>
        <w:rPr>
          <w:rStyle w:val="11"/>
          <w:rFonts w:ascii="宋体" w:hAnsi="宋体" w:cs="宋体"/>
          <w:bCs/>
          <w:szCs w:val="21"/>
        </w:rPr>
      </w:pPr>
      <w:r>
        <w:rPr>
          <w:rStyle w:val="11"/>
          <w:rFonts w:ascii="宋体" w:hAnsi="宋体" w:cs="宋体"/>
          <w:bCs/>
          <w:szCs w:val="21"/>
        </w:rPr>
        <w:t>（一）按《</w:t>
      </w:r>
      <w:r>
        <w:rPr>
          <w:rStyle w:val="11"/>
          <w:rFonts w:hint="eastAsia" w:ascii="宋体" w:hAnsi="宋体" w:cs="宋体"/>
          <w:bCs/>
          <w:szCs w:val="21"/>
        </w:rPr>
        <w:t>中华人民共和国民法典</w:t>
      </w:r>
      <w:r>
        <w:rPr>
          <w:rStyle w:val="11"/>
          <w:rFonts w:ascii="宋体" w:hAnsi="宋体" w:cs="宋体"/>
          <w:bCs/>
          <w:szCs w:val="21"/>
        </w:rPr>
        <w:t>》中的相关条款执行。</w:t>
      </w:r>
    </w:p>
    <w:p w14:paraId="4A88C5AA">
      <w:pPr>
        <w:snapToGrid w:val="0"/>
        <w:spacing w:line="360" w:lineRule="auto"/>
        <w:ind w:firstLine="440" w:firstLineChars="200"/>
        <w:rPr>
          <w:rStyle w:val="11"/>
          <w:rFonts w:ascii="宋体" w:hAnsi="宋体" w:cs="宋体"/>
          <w:bCs/>
          <w:szCs w:val="21"/>
        </w:rPr>
      </w:pPr>
      <w:r>
        <w:rPr>
          <w:rStyle w:val="11"/>
          <w:rFonts w:ascii="宋体" w:hAnsi="宋体" w:cs="宋体"/>
          <w:bCs/>
          <w:szCs w:val="21"/>
        </w:rPr>
        <w:t>（二）</w:t>
      </w:r>
      <w:r>
        <w:rPr>
          <w:rStyle w:val="11"/>
          <w:rFonts w:hint="eastAsia" w:ascii="宋体" w:hAnsi="宋体" w:cs="宋体"/>
          <w:bCs/>
          <w:szCs w:val="21"/>
        </w:rPr>
        <w:t>依据《中华人民共和民法典》《中华人民共和国政府采购法》的相关条款和本合同约定，供应商未全面履行合同义务或者发生违约，采购人会同采购代理机构有权终止合同，依法向供应商进行经济索赔，并报请政府采购监督管理机关进行相应的行政处罚。采购单位违约的，应当赔偿给供应商造成的经济损失。</w:t>
      </w:r>
    </w:p>
    <w:p w14:paraId="51B4D48A">
      <w:pPr>
        <w:snapToGrid w:val="0"/>
        <w:spacing w:line="360" w:lineRule="auto"/>
        <w:ind w:firstLine="440" w:firstLineChars="200"/>
        <w:rPr>
          <w:rStyle w:val="11"/>
          <w:rFonts w:hint="eastAsia" w:cs="宋体"/>
          <w:b w:val="0"/>
          <w:bCs w:val="0"/>
          <w:szCs w:val="21"/>
          <w:lang w:eastAsia="zh-CN"/>
        </w:rPr>
      </w:pPr>
      <w:r>
        <w:rPr>
          <w:rStyle w:val="11"/>
          <w:rFonts w:hint="eastAsia" w:cs="宋体"/>
          <w:b w:val="0"/>
          <w:bCs w:val="0"/>
          <w:szCs w:val="21"/>
          <w:lang w:eastAsia="zh-CN"/>
        </w:rPr>
        <w:t>（</w:t>
      </w:r>
      <w:r>
        <w:rPr>
          <w:rStyle w:val="11"/>
          <w:rFonts w:hint="eastAsia" w:cs="宋体"/>
          <w:b w:val="0"/>
          <w:bCs w:val="0"/>
          <w:szCs w:val="21"/>
          <w:lang w:val="en-US" w:eastAsia="zh-CN"/>
        </w:rPr>
        <w:t>三</w:t>
      </w:r>
      <w:r>
        <w:rPr>
          <w:rStyle w:val="11"/>
          <w:rFonts w:hint="eastAsia" w:cs="宋体"/>
          <w:b w:val="0"/>
          <w:bCs w:val="0"/>
          <w:szCs w:val="21"/>
          <w:lang w:eastAsia="zh-CN"/>
        </w:rPr>
        <w:t>）供应商未经采购人同意，以任何形式向第三人泄露体检者个人信息及秘密的，采购人有权解除合同且要求供应商支付合同总价款30%的违约金，并赔偿因此使采购人遭受的全部损失（包括但不限于实际损失、可预期利益、律师费等）。</w:t>
      </w:r>
    </w:p>
    <w:p w14:paraId="7F5DC9AC">
      <w:pPr>
        <w:snapToGrid w:val="0"/>
        <w:spacing w:line="360" w:lineRule="auto"/>
        <w:ind w:firstLine="440" w:firstLineChars="200"/>
        <w:rPr>
          <w:rStyle w:val="11"/>
          <w:rFonts w:hint="eastAsia" w:cs="宋体"/>
          <w:b w:val="0"/>
          <w:bCs w:val="0"/>
          <w:szCs w:val="21"/>
          <w:lang w:eastAsia="zh-CN"/>
        </w:rPr>
      </w:pPr>
      <w:r>
        <w:rPr>
          <w:rStyle w:val="11"/>
          <w:rFonts w:hint="eastAsia" w:cs="宋体"/>
          <w:b w:val="0"/>
          <w:bCs w:val="0"/>
          <w:szCs w:val="21"/>
          <w:lang w:eastAsia="zh-CN"/>
        </w:rPr>
        <w:t>（</w:t>
      </w:r>
      <w:r>
        <w:rPr>
          <w:rStyle w:val="11"/>
          <w:rFonts w:hint="eastAsia" w:cs="宋体"/>
          <w:b w:val="0"/>
          <w:bCs w:val="0"/>
          <w:szCs w:val="21"/>
          <w:lang w:val="en-US" w:eastAsia="zh-CN"/>
        </w:rPr>
        <w:t>四</w:t>
      </w:r>
      <w:r>
        <w:rPr>
          <w:rStyle w:val="11"/>
          <w:rFonts w:hint="eastAsia" w:cs="宋体"/>
          <w:b w:val="0"/>
          <w:bCs w:val="0"/>
          <w:szCs w:val="21"/>
          <w:lang w:eastAsia="zh-CN"/>
        </w:rPr>
        <w:t>）供应商应在收到解除通知后5天内退还已收取的款项，履行合同的相关费用由供应商承担。</w:t>
      </w:r>
    </w:p>
    <w:p w14:paraId="52519FFD">
      <w:pPr>
        <w:snapToGrid w:val="0"/>
        <w:spacing w:line="360" w:lineRule="auto"/>
        <w:ind w:firstLine="440" w:firstLineChars="200"/>
        <w:rPr>
          <w:rStyle w:val="11"/>
          <w:rFonts w:hint="eastAsia" w:cs="宋体"/>
          <w:b w:val="0"/>
          <w:bCs w:val="0"/>
          <w:szCs w:val="21"/>
          <w:lang w:eastAsia="zh-CN"/>
        </w:rPr>
      </w:pPr>
      <w:r>
        <w:rPr>
          <w:rStyle w:val="11"/>
          <w:rFonts w:hint="eastAsia" w:cs="宋体"/>
          <w:b w:val="0"/>
          <w:bCs w:val="0"/>
          <w:szCs w:val="21"/>
          <w:lang w:eastAsia="zh-CN"/>
        </w:rPr>
        <w:t>（</w:t>
      </w:r>
      <w:r>
        <w:rPr>
          <w:rStyle w:val="11"/>
          <w:rFonts w:hint="eastAsia" w:cs="宋体"/>
          <w:b w:val="0"/>
          <w:bCs w:val="0"/>
          <w:szCs w:val="21"/>
          <w:lang w:val="en-US" w:eastAsia="zh-CN"/>
        </w:rPr>
        <w:t>五</w:t>
      </w:r>
      <w:r>
        <w:rPr>
          <w:rStyle w:val="11"/>
          <w:rFonts w:hint="eastAsia" w:cs="宋体"/>
          <w:b w:val="0"/>
          <w:bCs w:val="0"/>
          <w:szCs w:val="21"/>
          <w:lang w:eastAsia="zh-CN"/>
        </w:rPr>
        <w:t>）因解除合同造成采购人损失的应予赔偿，损失无法计算时，每日应按合同价款的千分之一承担。上述约定的违约条款可合并适用，合并适用后仍不能弥补采购人损失的，采购人有权继续追偿，由供应商承担相应责任。</w:t>
      </w:r>
    </w:p>
    <w:p w14:paraId="00D0C526">
      <w:pPr>
        <w:snapToGrid w:val="0"/>
        <w:spacing w:line="360" w:lineRule="auto"/>
        <w:ind w:firstLine="440" w:firstLineChars="200"/>
        <w:rPr>
          <w:rStyle w:val="11"/>
          <w:rFonts w:hint="eastAsia" w:cs="宋体"/>
          <w:b w:val="0"/>
          <w:bCs w:val="0"/>
          <w:szCs w:val="21"/>
          <w:lang w:eastAsia="zh-CN"/>
        </w:rPr>
      </w:pPr>
      <w:r>
        <w:rPr>
          <w:rStyle w:val="11"/>
          <w:rFonts w:hint="eastAsia" w:cs="宋体"/>
          <w:b w:val="0"/>
          <w:bCs w:val="0"/>
          <w:szCs w:val="21"/>
          <w:lang w:eastAsia="zh-CN"/>
        </w:rPr>
        <w:t>（</w:t>
      </w:r>
      <w:r>
        <w:rPr>
          <w:rStyle w:val="11"/>
          <w:rFonts w:hint="eastAsia" w:cs="宋体"/>
          <w:b w:val="0"/>
          <w:bCs w:val="0"/>
          <w:szCs w:val="21"/>
          <w:lang w:val="en-US" w:eastAsia="zh-CN"/>
        </w:rPr>
        <w:t>六</w:t>
      </w:r>
      <w:r>
        <w:rPr>
          <w:rStyle w:val="11"/>
          <w:rFonts w:hint="eastAsia" w:cs="宋体"/>
          <w:b w:val="0"/>
          <w:bCs w:val="0"/>
          <w:szCs w:val="21"/>
          <w:lang w:eastAsia="zh-CN"/>
        </w:rPr>
        <w:t>）供应商要求终止或解除合同的，应返还采购人已支付的所有费用，并支付采购人合同金额30%的违约金。</w:t>
      </w:r>
    </w:p>
    <w:p w14:paraId="4D4F2C9B">
      <w:pPr>
        <w:snapToGrid w:val="0"/>
        <w:spacing w:line="360" w:lineRule="auto"/>
        <w:ind w:firstLine="440" w:firstLineChars="200"/>
        <w:rPr>
          <w:rStyle w:val="11"/>
          <w:rFonts w:hint="eastAsia" w:cs="宋体"/>
          <w:b w:val="0"/>
          <w:bCs w:val="0"/>
          <w:szCs w:val="21"/>
          <w:lang w:eastAsia="zh-CN"/>
        </w:rPr>
      </w:pPr>
      <w:r>
        <w:rPr>
          <w:rStyle w:val="11"/>
          <w:rFonts w:hint="eastAsia" w:cs="宋体"/>
          <w:b w:val="0"/>
          <w:bCs w:val="0"/>
          <w:szCs w:val="21"/>
          <w:lang w:eastAsia="zh-CN"/>
        </w:rPr>
        <w:t>（</w:t>
      </w:r>
      <w:r>
        <w:rPr>
          <w:rStyle w:val="11"/>
          <w:rFonts w:hint="eastAsia" w:cs="宋体"/>
          <w:b w:val="0"/>
          <w:bCs w:val="0"/>
          <w:szCs w:val="21"/>
          <w:lang w:val="en-US" w:eastAsia="zh-CN"/>
        </w:rPr>
        <w:t>七</w:t>
      </w:r>
      <w:r>
        <w:rPr>
          <w:rStyle w:val="11"/>
          <w:rFonts w:hint="eastAsia" w:cs="宋体"/>
          <w:b w:val="0"/>
          <w:bCs w:val="0"/>
          <w:szCs w:val="21"/>
          <w:lang w:eastAsia="zh-CN"/>
        </w:rPr>
        <w:t>）未经采购人书面同意，供应商不得转让或部分转让合同，如供应商违约，采购人有权解除合同且要求供应商支付合同总价款30%的违约金，并赔偿因此使采购人遭受的全部损失（包括但不限于实际损失、可预期利益、律师费等）。</w:t>
      </w:r>
    </w:p>
    <w:p w14:paraId="0D236E5E">
      <w:pPr>
        <w:snapToGrid w:val="0"/>
        <w:spacing w:line="360" w:lineRule="auto"/>
        <w:ind w:firstLine="440" w:firstLineChars="200"/>
        <w:rPr>
          <w:rStyle w:val="11"/>
          <w:rFonts w:hint="eastAsia" w:cs="宋体"/>
          <w:b w:val="0"/>
          <w:bCs w:val="0"/>
          <w:szCs w:val="21"/>
          <w:lang w:eastAsia="zh-CN"/>
        </w:rPr>
      </w:pPr>
      <w:r>
        <w:rPr>
          <w:rStyle w:val="11"/>
          <w:rFonts w:hint="eastAsia" w:cs="宋体"/>
          <w:b w:val="0"/>
          <w:bCs w:val="0"/>
          <w:szCs w:val="21"/>
          <w:lang w:eastAsia="zh-CN"/>
        </w:rPr>
        <w:t>（</w:t>
      </w:r>
      <w:r>
        <w:rPr>
          <w:rStyle w:val="11"/>
          <w:rFonts w:hint="eastAsia" w:cs="宋体"/>
          <w:b w:val="0"/>
          <w:bCs w:val="0"/>
          <w:szCs w:val="21"/>
          <w:lang w:val="en-US" w:eastAsia="zh-CN"/>
        </w:rPr>
        <w:t>八</w:t>
      </w:r>
      <w:r>
        <w:rPr>
          <w:rStyle w:val="11"/>
          <w:rFonts w:hint="eastAsia" w:cs="宋体"/>
          <w:b w:val="0"/>
          <w:bCs w:val="0"/>
          <w:szCs w:val="21"/>
          <w:lang w:eastAsia="zh-CN"/>
        </w:rPr>
        <w:t>）若供应商未严格按照操作流程及规范进行，造成采购人或第三方人员财产损失的，供应商应承担赔偿责任。</w:t>
      </w:r>
    </w:p>
    <w:p w14:paraId="08B84F3E">
      <w:pPr>
        <w:snapToGrid w:val="0"/>
        <w:spacing w:line="360" w:lineRule="auto"/>
        <w:ind w:firstLine="440" w:firstLineChars="200"/>
        <w:rPr>
          <w:rStyle w:val="11"/>
          <w:rFonts w:hint="eastAsia" w:cs="宋体"/>
          <w:b w:val="0"/>
          <w:bCs w:val="0"/>
          <w:szCs w:val="21"/>
          <w:lang w:val="en-US" w:eastAsia="zh-CN"/>
        </w:rPr>
      </w:pPr>
      <w:r>
        <w:rPr>
          <w:rStyle w:val="11"/>
          <w:rFonts w:hint="eastAsia" w:cs="宋体"/>
          <w:b w:val="0"/>
          <w:bCs w:val="0"/>
          <w:szCs w:val="21"/>
          <w:lang w:val="en-US" w:eastAsia="zh-CN"/>
        </w:rPr>
        <w:t>（九）供应商未按合同约定提供免费车接送或上门体检的，采购人可自行雇佣车辆接送体检人员，所支出费用由供应商承担。</w:t>
      </w:r>
    </w:p>
    <w:p w14:paraId="771DD855">
      <w:pPr>
        <w:snapToGrid w:val="0"/>
        <w:spacing w:line="360" w:lineRule="auto"/>
        <w:ind w:firstLine="440" w:firstLineChars="200"/>
        <w:rPr>
          <w:rStyle w:val="11"/>
          <w:rFonts w:hint="default" w:cs="宋体"/>
          <w:b w:val="0"/>
          <w:bCs w:val="0"/>
          <w:szCs w:val="21"/>
          <w:lang w:val="en-US" w:eastAsia="zh-CN"/>
        </w:rPr>
      </w:pPr>
      <w:r>
        <w:rPr>
          <w:rStyle w:val="11"/>
          <w:rFonts w:hint="eastAsia" w:cs="宋体"/>
          <w:b w:val="0"/>
          <w:bCs w:val="0"/>
          <w:szCs w:val="21"/>
          <w:lang w:val="en-US" w:eastAsia="zh-CN"/>
        </w:rPr>
        <w:t>（十）供应商未能在体检结束7个工作日内出具体检结果的，每延期出具一日应向采购人支付采购预算金额的1‰作为违约金，延期7个工作日以上的，采购人可解除合同并要求供应商退还已支付的体检费用、支付采购人合同总价款30%的违约金及以及赔偿采购人因此遭受的全部损失。</w:t>
      </w:r>
    </w:p>
    <w:p w14:paraId="5E97A97B">
      <w:pPr>
        <w:snapToGrid w:val="0"/>
        <w:spacing w:line="360" w:lineRule="auto"/>
        <w:ind w:firstLine="440" w:firstLineChars="200"/>
        <w:rPr>
          <w:rStyle w:val="11"/>
          <w:rFonts w:hint="default" w:cs="宋体"/>
          <w:b w:val="0"/>
          <w:bCs w:val="0"/>
          <w:szCs w:val="21"/>
          <w:lang w:val="en-US" w:eastAsia="zh-CN"/>
        </w:rPr>
      </w:pPr>
      <w:r>
        <w:rPr>
          <w:rStyle w:val="11"/>
          <w:rFonts w:hint="eastAsia" w:cs="宋体"/>
          <w:b w:val="0"/>
          <w:bCs w:val="0"/>
          <w:szCs w:val="21"/>
          <w:lang w:val="en-US" w:eastAsia="zh-CN"/>
        </w:rPr>
        <w:t>（十一）采购人如果发现供应商体检报告有弄虚作假等情况，采购人有权终止协议，并要求供应商退还已支付的体检费用、支付采购人合同总价款30%的违约金及赔偿采购人因此遭受的全部损失（包括但不限于实际损失、可预期利益、律师费等）。</w:t>
      </w:r>
    </w:p>
    <w:p w14:paraId="69F13410">
      <w:pPr>
        <w:snapToGrid w:val="0"/>
        <w:spacing w:line="360" w:lineRule="auto"/>
        <w:ind w:firstLine="440" w:firstLineChars="200"/>
        <w:rPr>
          <w:rStyle w:val="11"/>
          <w:rFonts w:hint="eastAsia" w:cs="宋体"/>
          <w:b w:val="0"/>
          <w:bCs w:val="0"/>
          <w:szCs w:val="21"/>
          <w:lang w:val="en-US" w:eastAsia="zh-CN"/>
        </w:rPr>
      </w:pPr>
      <w:r>
        <w:rPr>
          <w:rStyle w:val="11"/>
          <w:rFonts w:hint="eastAsia" w:cs="宋体"/>
          <w:b w:val="0"/>
          <w:bCs w:val="0"/>
          <w:szCs w:val="21"/>
          <w:lang w:val="en-US" w:eastAsia="zh-CN"/>
        </w:rPr>
        <w:t>（十二）供应商在履行合同过程中侵犯第三人合法权利或造成第三人、体检人员人身损害、财产损失的由供应商承担责任。</w:t>
      </w:r>
    </w:p>
    <w:p w14:paraId="544FA2C2">
      <w:pPr>
        <w:snapToGrid w:val="0"/>
        <w:spacing w:line="360" w:lineRule="auto"/>
        <w:ind w:firstLine="440" w:firstLineChars="200"/>
        <w:rPr>
          <w:rStyle w:val="11"/>
          <w:rFonts w:hint="default" w:cs="宋体" w:asciiTheme="minorHAnsi" w:hAnsiTheme="minorHAnsi" w:eastAsiaTheme="minorEastAsia"/>
          <w:b w:val="0"/>
          <w:bCs w:val="0"/>
          <w:szCs w:val="21"/>
          <w:lang w:val="en-US" w:eastAsia="zh-CN"/>
        </w:rPr>
      </w:pPr>
      <w:r>
        <w:rPr>
          <w:rStyle w:val="11"/>
          <w:rFonts w:hint="eastAsia" w:cs="宋体"/>
          <w:b w:val="0"/>
          <w:bCs w:val="0"/>
          <w:szCs w:val="21"/>
          <w:lang w:val="en-US" w:eastAsia="zh-CN"/>
        </w:rPr>
        <w:t>（十三）供应商安排的体检医师、护士等其他人员不具备相应资质或擅自变更的，采购人可解除合同并要求供应商退还已支付的体检费用、支付采购人合同总价款30%的违约金及</w:t>
      </w:r>
      <w:r>
        <w:rPr>
          <w:rStyle w:val="11"/>
          <w:rFonts w:hint="eastAsia" w:cs="宋体" w:asciiTheme="minorHAnsi" w:hAnsiTheme="minorHAnsi" w:eastAsiaTheme="minorEastAsia"/>
          <w:b w:val="0"/>
          <w:bCs w:val="0"/>
          <w:szCs w:val="21"/>
          <w:lang w:val="en-US" w:eastAsia="zh-CN"/>
        </w:rPr>
        <w:t>赔偿采购人因此遭受的全部损失（包括但不限于实际损失、可预期利益、律师费等）。</w:t>
      </w:r>
    </w:p>
    <w:p w14:paraId="5B01090E">
      <w:pPr>
        <w:snapToGrid w:val="0"/>
        <w:spacing w:line="360" w:lineRule="auto"/>
        <w:ind w:firstLine="442" w:firstLineChars="200"/>
        <w:rPr>
          <w:rStyle w:val="11"/>
          <w:rFonts w:hint="eastAsia" w:ascii="宋体" w:hAnsi="宋体" w:cs="宋体" w:eastAsiaTheme="minorEastAsia"/>
          <w:b/>
          <w:bCs/>
          <w:szCs w:val="21"/>
          <w:lang w:val="en-US" w:eastAsia="zh-CN"/>
        </w:rPr>
      </w:pPr>
      <w:r>
        <w:rPr>
          <w:rStyle w:val="11"/>
          <w:rFonts w:hint="eastAsia" w:cs="宋体" w:eastAsiaTheme="minorEastAsia"/>
          <w:b/>
          <w:bCs/>
          <w:szCs w:val="21"/>
          <w:lang w:val="en-US" w:eastAsia="zh-CN"/>
        </w:rPr>
        <w:t>九</w:t>
      </w:r>
      <w:r>
        <w:rPr>
          <w:rStyle w:val="11"/>
          <w:rFonts w:hint="eastAsia" w:ascii="宋体" w:hAnsi="宋体" w:cs="宋体" w:eastAsiaTheme="minorEastAsia"/>
          <w:b/>
          <w:bCs/>
          <w:szCs w:val="21"/>
          <w:lang w:val="en-US" w:eastAsia="zh-CN"/>
        </w:rPr>
        <w:t>、合同变更、解除及终止条件</w:t>
      </w:r>
    </w:p>
    <w:p w14:paraId="51C53D18">
      <w:pPr>
        <w:snapToGrid w:val="0"/>
        <w:spacing w:line="360" w:lineRule="auto"/>
        <w:ind w:firstLine="440" w:firstLineChars="200"/>
        <w:rPr>
          <w:rStyle w:val="11"/>
          <w:rFonts w:hint="eastAsia" w:cs="宋体" w:asciiTheme="minorHAnsi" w:hAnsiTheme="minorHAnsi" w:eastAsiaTheme="minorEastAsia"/>
          <w:b w:val="0"/>
          <w:bCs w:val="0"/>
          <w:szCs w:val="21"/>
          <w:lang w:val="en-US" w:eastAsia="zh-CN"/>
        </w:rPr>
      </w:pPr>
      <w:r>
        <w:rPr>
          <w:rStyle w:val="11"/>
          <w:rFonts w:hint="eastAsia" w:cs="宋体" w:asciiTheme="minorHAnsi" w:hAnsiTheme="minorHAnsi" w:eastAsiaTheme="minorEastAsia"/>
          <w:b w:val="0"/>
          <w:bCs w:val="0"/>
          <w:szCs w:val="21"/>
          <w:lang w:val="en-US" w:eastAsia="zh-CN"/>
        </w:rPr>
        <w:t>在采购人对供应商违约而采取的任何补救措施不受影响的情况下，采购人可向供应商发出书面违约通知书，提出终止部分或全部合同，自通知发出之日起部分或全部合同终止：</w:t>
      </w:r>
    </w:p>
    <w:p w14:paraId="16C5A7D9">
      <w:pPr>
        <w:snapToGrid w:val="0"/>
        <w:spacing w:line="360" w:lineRule="auto"/>
        <w:ind w:firstLine="440" w:firstLineChars="200"/>
        <w:rPr>
          <w:rStyle w:val="11"/>
          <w:rFonts w:hint="eastAsia" w:cs="宋体" w:asciiTheme="minorHAnsi" w:hAnsiTheme="minorHAnsi" w:eastAsiaTheme="minorEastAsia"/>
          <w:b w:val="0"/>
          <w:bCs w:val="0"/>
          <w:szCs w:val="21"/>
          <w:lang w:val="en-US" w:eastAsia="zh-CN"/>
        </w:rPr>
      </w:pPr>
      <w:r>
        <w:rPr>
          <w:rStyle w:val="11"/>
          <w:rFonts w:hint="eastAsia" w:cs="宋体" w:asciiTheme="minorHAnsi" w:hAnsiTheme="minorHAnsi" w:eastAsiaTheme="minorEastAsia"/>
          <w:b w:val="0"/>
          <w:bCs w:val="0"/>
          <w:szCs w:val="21"/>
          <w:lang w:val="en-US" w:eastAsia="zh-CN"/>
        </w:rPr>
        <w:t>（一）如果供应商未能在合同规定的期限内提供部分或全部服务，或误期赔偿费达到最高限额。</w:t>
      </w:r>
    </w:p>
    <w:p w14:paraId="37C4F96A">
      <w:pPr>
        <w:snapToGrid w:val="0"/>
        <w:spacing w:line="360" w:lineRule="auto"/>
        <w:ind w:firstLine="440" w:firstLineChars="200"/>
        <w:rPr>
          <w:rStyle w:val="11"/>
          <w:rFonts w:hint="eastAsia" w:cs="宋体" w:asciiTheme="minorHAnsi" w:hAnsiTheme="minorHAnsi" w:eastAsiaTheme="minorEastAsia"/>
          <w:b w:val="0"/>
          <w:bCs w:val="0"/>
          <w:szCs w:val="21"/>
          <w:lang w:val="en-US" w:eastAsia="zh-CN"/>
        </w:rPr>
      </w:pPr>
      <w:r>
        <w:rPr>
          <w:rStyle w:val="11"/>
          <w:rFonts w:hint="eastAsia" w:cs="宋体" w:asciiTheme="minorHAnsi" w:hAnsiTheme="minorHAnsi" w:eastAsiaTheme="minorEastAsia"/>
          <w:b w:val="0"/>
          <w:bCs w:val="0"/>
          <w:szCs w:val="21"/>
          <w:lang w:val="en-US" w:eastAsia="zh-CN"/>
        </w:rPr>
        <w:t>（二）如果供应商未能履行合同规定的其它任何义务。</w:t>
      </w:r>
    </w:p>
    <w:p w14:paraId="1AA11939">
      <w:pPr>
        <w:snapToGrid w:val="0"/>
        <w:spacing w:line="360" w:lineRule="auto"/>
        <w:ind w:firstLine="440" w:firstLineChars="200"/>
        <w:rPr>
          <w:rStyle w:val="11"/>
          <w:rFonts w:hint="eastAsia" w:cs="宋体" w:asciiTheme="minorHAnsi" w:hAnsiTheme="minorHAnsi" w:eastAsiaTheme="minorEastAsia"/>
          <w:b w:val="0"/>
          <w:bCs w:val="0"/>
          <w:szCs w:val="21"/>
          <w:lang w:val="en-US" w:eastAsia="zh-CN"/>
        </w:rPr>
      </w:pPr>
      <w:r>
        <w:rPr>
          <w:rStyle w:val="11"/>
          <w:rFonts w:hint="eastAsia" w:cs="宋体" w:asciiTheme="minorHAnsi" w:hAnsiTheme="minorHAnsi" w:eastAsiaTheme="minorEastAsia"/>
          <w:b w:val="0"/>
          <w:bCs w:val="0"/>
          <w:szCs w:val="21"/>
          <w:lang w:val="en-US" w:eastAsia="zh-CN"/>
        </w:rPr>
        <w:t>（三）如果采购人认为供应商在本合同的竞争和实施过程中有腐败和欺诈行为。为此目的，定义下述条件：</w:t>
      </w:r>
    </w:p>
    <w:p w14:paraId="31515EA6">
      <w:pPr>
        <w:snapToGrid w:val="0"/>
        <w:spacing w:line="360" w:lineRule="auto"/>
        <w:ind w:firstLine="440" w:firstLineChars="200"/>
        <w:rPr>
          <w:rStyle w:val="11"/>
          <w:rFonts w:hint="eastAsia" w:cs="宋体" w:asciiTheme="minorHAnsi" w:hAnsiTheme="minorHAnsi" w:eastAsiaTheme="minorEastAsia"/>
          <w:b w:val="0"/>
          <w:bCs w:val="0"/>
          <w:szCs w:val="21"/>
          <w:lang w:val="en-US" w:eastAsia="zh-CN"/>
        </w:rPr>
      </w:pPr>
      <w:r>
        <w:rPr>
          <w:rStyle w:val="11"/>
          <w:rFonts w:hint="eastAsia" w:cs="宋体" w:asciiTheme="minorHAnsi" w:hAnsiTheme="minorHAnsi" w:eastAsiaTheme="minorEastAsia"/>
          <w:b w:val="0"/>
          <w:bCs w:val="0"/>
          <w:szCs w:val="21"/>
          <w:lang w:val="en-US" w:eastAsia="zh-CN"/>
        </w:rPr>
        <w:t>“腐败行为”是指提供、给予、接受或索取任何有价值的物品来影响采购人在采购过程或合同实施过程中的行为。</w:t>
      </w:r>
    </w:p>
    <w:p w14:paraId="19A8CFF6">
      <w:pPr>
        <w:snapToGrid w:val="0"/>
        <w:spacing w:line="360" w:lineRule="auto"/>
        <w:ind w:firstLine="440" w:firstLineChars="200"/>
        <w:rPr>
          <w:rStyle w:val="11"/>
          <w:rFonts w:hint="eastAsia" w:cs="宋体" w:asciiTheme="minorHAnsi" w:hAnsiTheme="minorHAnsi" w:eastAsiaTheme="minorEastAsia"/>
          <w:b w:val="0"/>
          <w:bCs w:val="0"/>
          <w:szCs w:val="21"/>
          <w:lang w:val="en-US" w:eastAsia="zh-CN"/>
        </w:rPr>
      </w:pPr>
      <w:r>
        <w:rPr>
          <w:rStyle w:val="11"/>
          <w:rFonts w:hint="eastAsia" w:cs="宋体" w:asciiTheme="minorHAnsi" w:hAnsiTheme="minorHAnsi" w:eastAsiaTheme="minorEastAsia"/>
          <w:b w:val="0"/>
          <w:bCs w:val="0"/>
          <w:szCs w:val="21"/>
          <w:lang w:val="en-US" w:eastAsia="zh-CN"/>
        </w:rPr>
        <w:t>“欺诈行为”是指为了影响采购过程或合同实施过程而谎报或隐瞒事实，损害采购人利益的行为。</w:t>
      </w:r>
    </w:p>
    <w:p w14:paraId="7C3ED90B">
      <w:pPr>
        <w:snapToGrid w:val="0"/>
        <w:spacing w:line="360" w:lineRule="auto"/>
        <w:ind w:firstLine="440" w:firstLineChars="200"/>
        <w:rPr>
          <w:rStyle w:val="11"/>
          <w:rFonts w:hint="eastAsia" w:cs="宋体" w:asciiTheme="minorHAnsi" w:hAnsiTheme="minorHAnsi" w:eastAsiaTheme="minorEastAsia"/>
          <w:b w:val="0"/>
          <w:bCs w:val="0"/>
          <w:szCs w:val="21"/>
          <w:lang w:val="en-US" w:eastAsia="zh-CN"/>
        </w:rPr>
      </w:pPr>
      <w:r>
        <w:rPr>
          <w:rStyle w:val="11"/>
          <w:rFonts w:hint="eastAsia" w:cs="宋体" w:asciiTheme="minorHAnsi" w:hAnsiTheme="minorHAnsi" w:eastAsiaTheme="minorEastAsia"/>
          <w:b w:val="0"/>
          <w:bCs w:val="0"/>
          <w:szCs w:val="21"/>
          <w:lang w:val="en-US" w:eastAsia="zh-CN"/>
        </w:rPr>
        <w:t>（四）如果采购人根据上述规定，终止了全部或部分合同，采购人可以依其认为适当的条件和方法购买与未交服务类似的服务，供应商应承担采购人因购买类似服务而产生的额外支出。但是，供应商应继续执行合同中未终止的部分。</w:t>
      </w:r>
    </w:p>
    <w:p w14:paraId="5DEA1F7F">
      <w:pPr>
        <w:snapToGrid w:val="0"/>
        <w:spacing w:line="360" w:lineRule="auto"/>
        <w:ind w:firstLine="442" w:firstLineChars="200"/>
        <w:rPr>
          <w:rStyle w:val="11"/>
          <w:rFonts w:hint="eastAsia" w:ascii="宋体" w:hAnsi="宋体" w:eastAsia="宋体" w:cs="宋体"/>
          <w:b/>
          <w:bCs/>
          <w:szCs w:val="21"/>
          <w:lang w:val="en-US" w:eastAsia="zh-CN"/>
        </w:rPr>
      </w:pPr>
      <w:r>
        <w:rPr>
          <w:rStyle w:val="11"/>
          <w:rFonts w:hint="eastAsia" w:cs="宋体"/>
          <w:b/>
          <w:bCs/>
          <w:szCs w:val="21"/>
          <w:lang w:val="en-US" w:eastAsia="zh-CN"/>
        </w:rPr>
        <w:t>十、不可抗力情况下的免责约定</w:t>
      </w:r>
    </w:p>
    <w:p w14:paraId="77B1D899">
      <w:pPr>
        <w:pStyle w:val="12"/>
        <w:spacing w:after="0"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在合同履行期间发生不可抗力的，双方均不承担法律责任，但应当及时通知对方。不可抗力是指不能预见、不可避免且不能克服的客观情况，包括但不限于地震、泥石流、火灾、洪水、战争等客观原因。</w:t>
      </w:r>
    </w:p>
    <w:p w14:paraId="7CCF5812">
      <w:pPr>
        <w:pStyle w:val="12"/>
        <w:spacing w:after="0"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因不可抗力影响合同正常履行，双方应当协商顺延工作时限；因不可抗力导致合同目的不能实现的，双方可以解除合同。</w:t>
      </w:r>
    </w:p>
    <w:p w14:paraId="4480D28B">
      <w:pPr>
        <w:rPr>
          <w:rStyle w:val="11"/>
          <w:rFonts w:hint="eastAsia" w:cs="宋体"/>
          <w:b/>
          <w:bCs/>
          <w:szCs w:val="21"/>
          <w:lang w:val="en-US" w:eastAsia="zh-CN"/>
        </w:rPr>
      </w:pPr>
      <w:r>
        <w:rPr>
          <w:rFonts w:hint="eastAsia" w:asciiTheme="minorEastAsia" w:hAnsiTheme="minorEastAsia" w:cstheme="minorEastAsia"/>
          <w:color w:val="000000"/>
          <w:szCs w:val="21"/>
        </w:rPr>
        <w:t>一方迟延履行后，发生不可抗力的，不能免除迟延履行一方的法律责任。</w:t>
      </w:r>
    </w:p>
    <w:p w14:paraId="273F7298">
      <w:pPr>
        <w:snapToGrid w:val="0"/>
        <w:spacing w:line="360" w:lineRule="auto"/>
        <w:ind w:firstLine="442" w:firstLineChars="200"/>
        <w:rPr>
          <w:rStyle w:val="11"/>
          <w:rFonts w:ascii="宋体" w:hAnsi="宋体" w:cs="宋体"/>
          <w:b/>
          <w:bCs/>
          <w:szCs w:val="21"/>
        </w:rPr>
      </w:pPr>
      <w:r>
        <w:rPr>
          <w:rStyle w:val="11"/>
          <w:rFonts w:hint="eastAsia" w:cs="宋体"/>
          <w:b/>
          <w:bCs/>
          <w:szCs w:val="21"/>
          <w:lang w:val="en-US" w:eastAsia="zh-CN"/>
        </w:rPr>
        <w:t>十一</w:t>
      </w:r>
      <w:r>
        <w:rPr>
          <w:rStyle w:val="11"/>
          <w:rFonts w:ascii="宋体" w:hAnsi="宋体" w:cs="宋体"/>
          <w:b/>
          <w:bCs/>
          <w:szCs w:val="21"/>
        </w:rPr>
        <w:t>、合同争议解决的方式</w:t>
      </w:r>
    </w:p>
    <w:p w14:paraId="42A3306D">
      <w:pPr>
        <w:snapToGrid w:val="0"/>
        <w:spacing w:line="360" w:lineRule="auto"/>
        <w:ind w:firstLine="440" w:firstLineChars="200"/>
        <w:rPr>
          <w:rStyle w:val="11"/>
          <w:rFonts w:ascii="宋体" w:hAnsi="宋体" w:cs="宋体"/>
          <w:bCs/>
          <w:szCs w:val="21"/>
        </w:rPr>
      </w:pPr>
      <w:r>
        <w:rPr>
          <w:rStyle w:val="11"/>
          <w:rFonts w:ascii="宋体" w:hAnsi="宋体" w:cs="宋体"/>
          <w:bCs/>
          <w:szCs w:val="21"/>
        </w:rPr>
        <w:t>本合同在履行过程中发生的争议，由甲、乙双方当事人协商解决，协商不成的按下列第</w:t>
      </w:r>
      <w:r>
        <w:rPr>
          <w:rStyle w:val="11"/>
          <w:rFonts w:ascii="宋体" w:hAnsi="宋体" w:cs="宋体"/>
          <w:bCs/>
          <w:szCs w:val="21"/>
          <w:u w:val="single" w:color="000000"/>
        </w:rPr>
        <w:t>（一）</w:t>
      </w:r>
      <w:r>
        <w:rPr>
          <w:rStyle w:val="11"/>
          <w:rFonts w:ascii="宋体" w:hAnsi="宋体" w:cs="宋体"/>
          <w:bCs/>
          <w:szCs w:val="21"/>
        </w:rPr>
        <w:t>种方式解决：</w:t>
      </w:r>
    </w:p>
    <w:p w14:paraId="37CEF64C">
      <w:pPr>
        <w:snapToGrid w:val="0"/>
        <w:spacing w:line="360" w:lineRule="auto"/>
        <w:ind w:firstLine="440" w:firstLineChars="200"/>
        <w:rPr>
          <w:rStyle w:val="11"/>
          <w:rFonts w:ascii="宋体" w:hAnsi="宋体" w:cs="宋体"/>
          <w:bCs/>
          <w:szCs w:val="21"/>
        </w:rPr>
      </w:pPr>
      <w:r>
        <w:rPr>
          <w:rStyle w:val="11"/>
          <w:rFonts w:ascii="宋体" w:hAnsi="宋体" w:cs="宋体"/>
          <w:bCs/>
          <w:szCs w:val="21"/>
        </w:rPr>
        <w:t>（一）提交西安仲裁委员会仲裁；</w:t>
      </w:r>
    </w:p>
    <w:p w14:paraId="4A5D4E71">
      <w:pPr>
        <w:snapToGrid w:val="0"/>
        <w:spacing w:line="360" w:lineRule="auto"/>
        <w:ind w:firstLine="440" w:firstLineChars="200"/>
        <w:rPr>
          <w:rStyle w:val="11"/>
          <w:rFonts w:ascii="宋体" w:hAnsi="宋体" w:cs="宋体"/>
          <w:bCs/>
          <w:szCs w:val="21"/>
        </w:rPr>
      </w:pPr>
      <w:r>
        <w:rPr>
          <w:rStyle w:val="11"/>
          <w:rFonts w:ascii="宋体" w:hAnsi="宋体" w:cs="宋体"/>
          <w:bCs/>
          <w:szCs w:val="21"/>
        </w:rPr>
        <w:t>（二）依法向甲方所在地人民法院起诉。</w:t>
      </w:r>
    </w:p>
    <w:p w14:paraId="65F198D8">
      <w:pPr>
        <w:snapToGrid w:val="0"/>
        <w:spacing w:line="360" w:lineRule="auto"/>
        <w:ind w:firstLine="442" w:firstLineChars="200"/>
        <w:rPr>
          <w:rStyle w:val="11"/>
          <w:rFonts w:ascii="宋体" w:hAnsi="宋体" w:cs="宋体"/>
          <w:b/>
          <w:bCs/>
          <w:szCs w:val="21"/>
        </w:rPr>
      </w:pPr>
      <w:r>
        <w:rPr>
          <w:rStyle w:val="11"/>
          <w:rFonts w:hint="eastAsia" w:cs="宋体"/>
          <w:b/>
          <w:bCs/>
          <w:szCs w:val="21"/>
          <w:lang w:val="en-US" w:eastAsia="zh-CN"/>
        </w:rPr>
        <w:t>十二</w:t>
      </w:r>
      <w:r>
        <w:rPr>
          <w:rStyle w:val="11"/>
          <w:rFonts w:ascii="宋体" w:hAnsi="宋体" w:cs="宋体"/>
          <w:b/>
          <w:bCs/>
          <w:szCs w:val="21"/>
        </w:rPr>
        <w:t>、合同生效</w:t>
      </w:r>
    </w:p>
    <w:p w14:paraId="59F6B242">
      <w:pPr>
        <w:snapToGrid w:val="0"/>
        <w:spacing w:line="360" w:lineRule="auto"/>
        <w:ind w:firstLine="440" w:firstLineChars="200"/>
        <w:rPr>
          <w:rStyle w:val="11"/>
          <w:rFonts w:ascii="宋体" w:hAnsi="宋体" w:cs="宋体"/>
          <w:bCs/>
          <w:szCs w:val="21"/>
        </w:rPr>
      </w:pPr>
      <w:r>
        <w:rPr>
          <w:rStyle w:val="11"/>
          <w:rFonts w:ascii="宋体" w:hAnsi="宋体" w:cs="宋体"/>
          <w:bCs/>
          <w:szCs w:val="21"/>
        </w:rPr>
        <w:t>（一）本合同须经甲、乙双方的法定代表人（授权代理人）在合同书上签字并加盖本单位公章后正式生效。</w:t>
      </w:r>
    </w:p>
    <w:p w14:paraId="0D21DFB4">
      <w:pPr>
        <w:snapToGrid w:val="0"/>
        <w:spacing w:line="360" w:lineRule="auto"/>
        <w:ind w:firstLine="440" w:firstLineChars="200"/>
        <w:rPr>
          <w:rStyle w:val="11"/>
          <w:rFonts w:ascii="宋体" w:hAnsi="宋体" w:cs="宋体"/>
          <w:bCs/>
          <w:szCs w:val="21"/>
        </w:rPr>
      </w:pPr>
      <w:r>
        <w:rPr>
          <w:rStyle w:val="11"/>
          <w:rFonts w:ascii="宋体" w:hAnsi="宋体" w:cs="宋体"/>
          <w:bCs/>
          <w:szCs w:val="21"/>
        </w:rPr>
        <w:t>（二）合同生效后，甲、乙双方须严格执行本合同条款的规定，全面履行合同，违者按《中华人民共和国</w:t>
      </w:r>
      <w:r>
        <w:rPr>
          <w:rStyle w:val="11"/>
          <w:rFonts w:hint="eastAsia" w:ascii="宋体" w:hAnsi="宋体" w:cs="宋体"/>
          <w:bCs/>
          <w:szCs w:val="21"/>
        </w:rPr>
        <w:t>民法典</w:t>
      </w:r>
      <w:r>
        <w:rPr>
          <w:rStyle w:val="11"/>
          <w:rFonts w:ascii="宋体" w:hAnsi="宋体" w:cs="宋体"/>
          <w:bCs/>
          <w:szCs w:val="21"/>
        </w:rPr>
        <w:t>》的有关规定承担相应责任。</w:t>
      </w:r>
    </w:p>
    <w:p w14:paraId="37A11E46">
      <w:pPr>
        <w:snapToGrid w:val="0"/>
        <w:spacing w:line="360" w:lineRule="auto"/>
        <w:ind w:firstLine="440" w:firstLineChars="200"/>
        <w:rPr>
          <w:rStyle w:val="11"/>
          <w:rFonts w:ascii="宋体" w:hAnsi="宋体" w:cs="宋体"/>
          <w:bCs/>
          <w:szCs w:val="21"/>
        </w:rPr>
      </w:pPr>
      <w:r>
        <w:rPr>
          <w:rStyle w:val="11"/>
          <w:rFonts w:ascii="宋体" w:hAnsi="宋体" w:cs="宋体"/>
          <w:bCs/>
          <w:szCs w:val="21"/>
        </w:rPr>
        <w:t>（三）本合同一式</w:t>
      </w:r>
      <w:r>
        <w:rPr>
          <w:rStyle w:val="11"/>
          <w:rFonts w:ascii="宋体" w:hAnsi="宋体" w:cs="宋体"/>
          <w:bCs/>
          <w:szCs w:val="21"/>
          <w:u w:val="single" w:color="000000"/>
        </w:rPr>
        <w:t xml:space="preserve">   </w:t>
      </w:r>
      <w:r>
        <w:rPr>
          <w:rStyle w:val="11"/>
          <w:rFonts w:ascii="宋体" w:hAnsi="宋体" w:cs="宋体"/>
          <w:bCs/>
          <w:szCs w:val="21"/>
        </w:rPr>
        <w:t>份，甲乙双方各执</w:t>
      </w:r>
      <w:r>
        <w:rPr>
          <w:rStyle w:val="11"/>
          <w:rFonts w:ascii="宋体" w:hAnsi="宋体" w:cs="宋体"/>
          <w:bCs/>
          <w:szCs w:val="21"/>
          <w:u w:val="single" w:color="000000"/>
        </w:rPr>
        <w:t xml:space="preserve">    </w:t>
      </w:r>
      <w:r>
        <w:rPr>
          <w:rStyle w:val="11"/>
          <w:rFonts w:ascii="宋体" w:hAnsi="宋体" w:cs="宋体"/>
          <w:bCs/>
          <w:szCs w:val="21"/>
        </w:rPr>
        <w:t>份</w:t>
      </w:r>
      <w:r>
        <w:rPr>
          <w:rStyle w:val="11"/>
          <w:rFonts w:hint="eastAsia" w:cs="宋体"/>
          <w:bCs/>
          <w:szCs w:val="21"/>
          <w:lang w:eastAsia="zh-CN"/>
        </w:rPr>
        <w:t>，</w:t>
      </w:r>
      <w:r>
        <w:rPr>
          <w:rStyle w:val="11"/>
          <w:rFonts w:hint="eastAsia" w:cs="宋体"/>
          <w:bCs/>
          <w:szCs w:val="21"/>
          <w:lang w:val="en-US" w:eastAsia="zh-CN"/>
        </w:rPr>
        <w:t>具有</w:t>
      </w:r>
      <w:bookmarkStart w:id="0" w:name="_GoBack"/>
      <w:bookmarkEnd w:id="0"/>
      <w:r>
        <w:rPr>
          <w:rStyle w:val="11"/>
          <w:rFonts w:hint="eastAsia" w:cs="宋体"/>
          <w:bCs/>
          <w:szCs w:val="21"/>
          <w:lang w:val="en-US" w:eastAsia="zh-CN"/>
        </w:rPr>
        <w:t>同等的法律效力</w:t>
      </w:r>
      <w:r>
        <w:rPr>
          <w:rStyle w:val="11"/>
          <w:rFonts w:ascii="宋体" w:hAnsi="宋体" w:cs="宋体"/>
          <w:bCs/>
          <w:szCs w:val="21"/>
        </w:rPr>
        <w:t>。</w:t>
      </w:r>
    </w:p>
    <w:p w14:paraId="656F3BF9">
      <w:pPr>
        <w:snapToGrid w:val="0"/>
        <w:spacing w:line="360" w:lineRule="auto"/>
        <w:ind w:firstLine="440" w:firstLineChars="200"/>
        <w:rPr>
          <w:rStyle w:val="11"/>
          <w:rFonts w:hint="default" w:ascii="宋体" w:hAnsi="宋体" w:eastAsia="宋体" w:cs="宋体"/>
          <w:bCs/>
          <w:szCs w:val="21"/>
          <w:lang w:val="en-US" w:eastAsia="zh-CN"/>
        </w:rPr>
      </w:pPr>
      <w:r>
        <w:rPr>
          <w:rStyle w:val="11"/>
          <w:rFonts w:ascii="宋体" w:hAnsi="宋体" w:cs="宋体"/>
          <w:bCs/>
          <w:szCs w:val="21"/>
        </w:rPr>
        <w:t>（四）本合同如有未尽事宜，甲、乙双方协商解决</w:t>
      </w:r>
      <w:r>
        <w:rPr>
          <w:rStyle w:val="11"/>
          <w:rFonts w:hint="eastAsia" w:cs="宋体"/>
          <w:bCs/>
          <w:szCs w:val="21"/>
          <w:lang w:eastAsia="zh-CN"/>
        </w:rPr>
        <w:t>，</w:t>
      </w:r>
      <w:r>
        <w:rPr>
          <w:rStyle w:val="11"/>
          <w:rFonts w:hint="eastAsia" w:cs="宋体"/>
          <w:bCs/>
          <w:szCs w:val="21"/>
          <w:lang w:val="en-US" w:eastAsia="zh-CN"/>
        </w:rPr>
        <w:t>可签订书面的补充协议，补充协议与本合同具有同等效力。</w:t>
      </w:r>
    </w:p>
    <w:tbl>
      <w:tblPr>
        <w:tblStyle w:val="5"/>
        <w:tblW w:w="8403" w:type="dxa"/>
        <w:jc w:val="center"/>
        <w:tblLayout w:type="fixed"/>
        <w:tblCellMar>
          <w:top w:w="0" w:type="dxa"/>
          <w:left w:w="0" w:type="dxa"/>
          <w:bottom w:w="0" w:type="dxa"/>
          <w:right w:w="0" w:type="dxa"/>
        </w:tblCellMar>
      </w:tblPr>
      <w:tblGrid>
        <w:gridCol w:w="4201"/>
        <w:gridCol w:w="4202"/>
      </w:tblGrid>
      <w:tr w14:paraId="6DB676CF">
        <w:tblPrEx>
          <w:tblCellMar>
            <w:top w:w="0" w:type="dxa"/>
            <w:left w:w="0" w:type="dxa"/>
            <w:bottom w:w="0" w:type="dxa"/>
            <w:right w:w="0" w:type="dxa"/>
          </w:tblCellMar>
        </w:tblPrEx>
        <w:trPr>
          <w:trHeight w:val="920" w:hRule="exact"/>
          <w:jc w:val="center"/>
        </w:trPr>
        <w:tc>
          <w:tcPr>
            <w:tcW w:w="4201" w:type="dxa"/>
            <w:noWrap w:val="0"/>
            <w:vAlign w:val="center"/>
          </w:tcPr>
          <w:p w14:paraId="60C6FC68">
            <w:pPr>
              <w:snapToGrid w:val="0"/>
              <w:spacing w:line="360" w:lineRule="auto"/>
              <w:jc w:val="left"/>
              <w:rPr>
                <w:rStyle w:val="11"/>
                <w:rFonts w:ascii="宋体" w:hAnsi="宋体" w:eastAsia="宋体" w:cs="宋体"/>
                <w:bCs/>
                <w:szCs w:val="21"/>
              </w:rPr>
            </w:pPr>
            <w:r>
              <w:rPr>
                <w:rStyle w:val="11"/>
                <w:rFonts w:ascii="宋体" w:hAnsi="宋体" w:eastAsia="宋体" w:cs="宋体"/>
                <w:bCs/>
                <w:szCs w:val="21"/>
              </w:rPr>
              <w:t>甲  方</w:t>
            </w:r>
          </w:p>
        </w:tc>
        <w:tc>
          <w:tcPr>
            <w:tcW w:w="4202" w:type="dxa"/>
            <w:noWrap w:val="0"/>
            <w:vAlign w:val="center"/>
          </w:tcPr>
          <w:p w14:paraId="39D0FE9A">
            <w:pPr>
              <w:snapToGrid w:val="0"/>
              <w:spacing w:line="360" w:lineRule="auto"/>
              <w:rPr>
                <w:rStyle w:val="11"/>
                <w:rFonts w:ascii="宋体" w:hAnsi="宋体" w:eastAsia="宋体" w:cs="宋体"/>
                <w:bCs/>
                <w:szCs w:val="21"/>
              </w:rPr>
            </w:pPr>
            <w:r>
              <w:rPr>
                <w:rStyle w:val="11"/>
                <w:rFonts w:ascii="宋体" w:hAnsi="宋体" w:eastAsia="宋体" w:cs="宋体"/>
                <w:bCs/>
                <w:szCs w:val="21"/>
              </w:rPr>
              <w:t>乙  方</w:t>
            </w:r>
          </w:p>
        </w:tc>
      </w:tr>
      <w:tr w14:paraId="451A7C0E">
        <w:tblPrEx>
          <w:tblCellMar>
            <w:top w:w="0" w:type="dxa"/>
            <w:left w:w="0" w:type="dxa"/>
            <w:bottom w:w="0" w:type="dxa"/>
            <w:right w:w="0" w:type="dxa"/>
          </w:tblCellMar>
        </w:tblPrEx>
        <w:trPr>
          <w:trHeight w:val="769" w:hRule="exact"/>
          <w:jc w:val="center"/>
        </w:trPr>
        <w:tc>
          <w:tcPr>
            <w:tcW w:w="4201" w:type="dxa"/>
            <w:noWrap w:val="0"/>
            <w:vAlign w:val="center"/>
          </w:tcPr>
          <w:p w14:paraId="3448D863">
            <w:pPr>
              <w:snapToGrid w:val="0"/>
              <w:spacing w:line="360" w:lineRule="auto"/>
              <w:jc w:val="left"/>
              <w:rPr>
                <w:rStyle w:val="11"/>
                <w:rFonts w:ascii="宋体" w:hAnsi="宋体" w:eastAsia="宋体" w:cs="宋体"/>
                <w:bCs/>
                <w:szCs w:val="21"/>
              </w:rPr>
            </w:pPr>
            <w:r>
              <w:rPr>
                <w:rStyle w:val="11"/>
                <w:rFonts w:ascii="宋体" w:hAnsi="宋体" w:eastAsia="宋体" w:cs="宋体"/>
                <w:bCs/>
                <w:szCs w:val="21"/>
              </w:rPr>
              <w:t>（盖章）</w:t>
            </w:r>
          </w:p>
        </w:tc>
        <w:tc>
          <w:tcPr>
            <w:tcW w:w="4202" w:type="dxa"/>
            <w:noWrap w:val="0"/>
            <w:vAlign w:val="center"/>
          </w:tcPr>
          <w:p w14:paraId="46E5A4A8">
            <w:pPr>
              <w:snapToGrid w:val="0"/>
              <w:spacing w:line="360" w:lineRule="auto"/>
              <w:rPr>
                <w:rStyle w:val="11"/>
                <w:rFonts w:ascii="宋体" w:hAnsi="宋体" w:eastAsia="宋体" w:cs="宋体"/>
                <w:bCs/>
                <w:szCs w:val="21"/>
              </w:rPr>
            </w:pPr>
            <w:r>
              <w:rPr>
                <w:rStyle w:val="11"/>
                <w:rFonts w:ascii="宋体" w:hAnsi="宋体" w:eastAsia="宋体" w:cs="宋体"/>
                <w:bCs/>
                <w:szCs w:val="21"/>
              </w:rPr>
              <w:t>（盖章）</w:t>
            </w:r>
          </w:p>
        </w:tc>
      </w:tr>
      <w:tr w14:paraId="1E66A113">
        <w:tblPrEx>
          <w:tblCellMar>
            <w:top w:w="0" w:type="dxa"/>
            <w:left w:w="0" w:type="dxa"/>
            <w:bottom w:w="0" w:type="dxa"/>
            <w:right w:w="0" w:type="dxa"/>
          </w:tblCellMar>
        </w:tblPrEx>
        <w:trPr>
          <w:trHeight w:val="567" w:hRule="exact"/>
          <w:jc w:val="center"/>
        </w:trPr>
        <w:tc>
          <w:tcPr>
            <w:tcW w:w="4201" w:type="dxa"/>
            <w:noWrap w:val="0"/>
            <w:vAlign w:val="center"/>
          </w:tcPr>
          <w:p w14:paraId="31ACFEC1">
            <w:pPr>
              <w:snapToGrid w:val="0"/>
              <w:spacing w:line="360" w:lineRule="auto"/>
              <w:jc w:val="left"/>
              <w:rPr>
                <w:rStyle w:val="11"/>
                <w:rFonts w:ascii="宋体" w:hAnsi="宋体" w:eastAsia="宋体" w:cs="宋体"/>
                <w:bCs/>
                <w:szCs w:val="21"/>
              </w:rPr>
            </w:pPr>
            <w:r>
              <w:rPr>
                <w:rStyle w:val="11"/>
                <w:rFonts w:ascii="宋体" w:hAnsi="宋体" w:eastAsia="宋体" w:cs="宋体"/>
                <w:bCs/>
                <w:szCs w:val="21"/>
              </w:rPr>
              <w:t xml:space="preserve">地址： </w:t>
            </w:r>
          </w:p>
        </w:tc>
        <w:tc>
          <w:tcPr>
            <w:tcW w:w="4202" w:type="dxa"/>
            <w:noWrap w:val="0"/>
            <w:vAlign w:val="center"/>
          </w:tcPr>
          <w:p w14:paraId="1DE90CAE">
            <w:pPr>
              <w:snapToGrid w:val="0"/>
              <w:spacing w:line="360" w:lineRule="auto"/>
              <w:rPr>
                <w:rStyle w:val="11"/>
                <w:rFonts w:ascii="宋体" w:hAnsi="宋体" w:eastAsia="宋体" w:cs="宋体"/>
                <w:bCs/>
                <w:szCs w:val="21"/>
              </w:rPr>
            </w:pPr>
            <w:r>
              <w:rPr>
                <w:rStyle w:val="11"/>
                <w:rFonts w:ascii="宋体" w:hAnsi="宋体" w:eastAsia="宋体" w:cs="宋体"/>
                <w:bCs/>
                <w:szCs w:val="21"/>
              </w:rPr>
              <w:t>地址：</w:t>
            </w:r>
          </w:p>
        </w:tc>
      </w:tr>
      <w:tr w14:paraId="09AF27A5">
        <w:tblPrEx>
          <w:tblCellMar>
            <w:top w:w="0" w:type="dxa"/>
            <w:left w:w="0" w:type="dxa"/>
            <w:bottom w:w="0" w:type="dxa"/>
            <w:right w:w="0" w:type="dxa"/>
          </w:tblCellMar>
        </w:tblPrEx>
        <w:trPr>
          <w:trHeight w:val="567" w:hRule="exact"/>
          <w:jc w:val="center"/>
        </w:trPr>
        <w:tc>
          <w:tcPr>
            <w:tcW w:w="4201" w:type="dxa"/>
            <w:noWrap w:val="0"/>
            <w:vAlign w:val="center"/>
          </w:tcPr>
          <w:p w14:paraId="0180A19A">
            <w:pPr>
              <w:snapToGrid w:val="0"/>
              <w:spacing w:line="360" w:lineRule="auto"/>
              <w:jc w:val="left"/>
              <w:rPr>
                <w:rStyle w:val="11"/>
                <w:rFonts w:ascii="宋体" w:hAnsi="宋体" w:eastAsia="宋体" w:cs="宋体"/>
                <w:bCs/>
                <w:szCs w:val="21"/>
              </w:rPr>
            </w:pPr>
            <w:r>
              <w:rPr>
                <w:rStyle w:val="11"/>
                <w:rFonts w:ascii="宋体" w:hAnsi="宋体" w:eastAsia="宋体" w:cs="宋体"/>
                <w:bCs/>
                <w:szCs w:val="21"/>
              </w:rPr>
              <w:t>邮编：</w:t>
            </w:r>
          </w:p>
        </w:tc>
        <w:tc>
          <w:tcPr>
            <w:tcW w:w="4202" w:type="dxa"/>
            <w:noWrap w:val="0"/>
            <w:vAlign w:val="center"/>
          </w:tcPr>
          <w:p w14:paraId="20D9B454">
            <w:pPr>
              <w:snapToGrid w:val="0"/>
              <w:spacing w:line="360" w:lineRule="auto"/>
              <w:rPr>
                <w:rStyle w:val="11"/>
                <w:rFonts w:ascii="宋体" w:hAnsi="宋体" w:eastAsia="宋体" w:cs="宋体"/>
                <w:bCs/>
                <w:szCs w:val="21"/>
              </w:rPr>
            </w:pPr>
            <w:r>
              <w:rPr>
                <w:rStyle w:val="11"/>
                <w:rFonts w:ascii="宋体" w:hAnsi="宋体" w:eastAsia="宋体" w:cs="宋体"/>
                <w:bCs/>
                <w:szCs w:val="21"/>
              </w:rPr>
              <w:t>邮编：</w:t>
            </w:r>
          </w:p>
        </w:tc>
      </w:tr>
      <w:tr w14:paraId="61BF348D">
        <w:tblPrEx>
          <w:tblCellMar>
            <w:top w:w="0" w:type="dxa"/>
            <w:left w:w="0" w:type="dxa"/>
            <w:bottom w:w="0" w:type="dxa"/>
            <w:right w:w="0" w:type="dxa"/>
          </w:tblCellMar>
        </w:tblPrEx>
        <w:trPr>
          <w:trHeight w:val="567" w:hRule="exact"/>
          <w:jc w:val="center"/>
        </w:trPr>
        <w:tc>
          <w:tcPr>
            <w:tcW w:w="4201" w:type="dxa"/>
            <w:noWrap w:val="0"/>
            <w:vAlign w:val="center"/>
          </w:tcPr>
          <w:p w14:paraId="575EE7AE">
            <w:pPr>
              <w:snapToGrid w:val="0"/>
              <w:spacing w:line="360" w:lineRule="auto"/>
              <w:jc w:val="left"/>
              <w:rPr>
                <w:rStyle w:val="11"/>
                <w:rFonts w:ascii="宋体" w:hAnsi="宋体" w:eastAsia="宋体" w:cs="宋体"/>
                <w:bCs/>
                <w:szCs w:val="21"/>
              </w:rPr>
            </w:pPr>
            <w:r>
              <w:rPr>
                <w:rStyle w:val="11"/>
                <w:rFonts w:ascii="宋体" w:hAnsi="宋体" w:eastAsia="宋体" w:cs="宋体"/>
                <w:bCs/>
                <w:szCs w:val="21"/>
              </w:rPr>
              <w:t xml:space="preserve">法定代表人： </w:t>
            </w:r>
          </w:p>
        </w:tc>
        <w:tc>
          <w:tcPr>
            <w:tcW w:w="4202" w:type="dxa"/>
            <w:noWrap w:val="0"/>
            <w:vAlign w:val="center"/>
          </w:tcPr>
          <w:p w14:paraId="6EEB2E03">
            <w:pPr>
              <w:snapToGrid w:val="0"/>
              <w:spacing w:line="360" w:lineRule="auto"/>
              <w:rPr>
                <w:rStyle w:val="11"/>
                <w:rFonts w:ascii="宋体" w:hAnsi="宋体" w:eastAsia="宋体" w:cs="宋体"/>
                <w:bCs/>
                <w:szCs w:val="21"/>
              </w:rPr>
            </w:pPr>
            <w:r>
              <w:rPr>
                <w:rStyle w:val="11"/>
                <w:rFonts w:ascii="宋体" w:hAnsi="宋体" w:eastAsia="宋体" w:cs="宋体"/>
                <w:bCs/>
                <w:szCs w:val="21"/>
              </w:rPr>
              <w:t>法定代表人：</w:t>
            </w:r>
          </w:p>
        </w:tc>
      </w:tr>
      <w:tr w14:paraId="4D556628">
        <w:tblPrEx>
          <w:tblCellMar>
            <w:top w:w="0" w:type="dxa"/>
            <w:left w:w="0" w:type="dxa"/>
            <w:bottom w:w="0" w:type="dxa"/>
            <w:right w:w="0" w:type="dxa"/>
          </w:tblCellMar>
        </w:tblPrEx>
        <w:trPr>
          <w:trHeight w:val="567" w:hRule="exact"/>
          <w:jc w:val="center"/>
        </w:trPr>
        <w:tc>
          <w:tcPr>
            <w:tcW w:w="4201" w:type="dxa"/>
            <w:noWrap w:val="0"/>
            <w:vAlign w:val="center"/>
          </w:tcPr>
          <w:p w14:paraId="7F0653A6">
            <w:pPr>
              <w:snapToGrid w:val="0"/>
              <w:spacing w:line="360" w:lineRule="auto"/>
              <w:jc w:val="left"/>
              <w:rPr>
                <w:rStyle w:val="11"/>
                <w:rFonts w:ascii="宋体" w:hAnsi="宋体" w:eastAsia="宋体" w:cs="宋体"/>
                <w:bCs/>
                <w:szCs w:val="21"/>
              </w:rPr>
            </w:pPr>
            <w:r>
              <w:rPr>
                <w:rStyle w:val="11"/>
                <w:rFonts w:ascii="宋体" w:hAnsi="宋体" w:eastAsia="宋体" w:cs="宋体"/>
                <w:bCs/>
                <w:szCs w:val="21"/>
              </w:rPr>
              <w:t>被授权代表：</w:t>
            </w:r>
          </w:p>
        </w:tc>
        <w:tc>
          <w:tcPr>
            <w:tcW w:w="4202" w:type="dxa"/>
            <w:noWrap w:val="0"/>
            <w:vAlign w:val="center"/>
          </w:tcPr>
          <w:p w14:paraId="78844E00">
            <w:pPr>
              <w:snapToGrid w:val="0"/>
              <w:spacing w:line="360" w:lineRule="auto"/>
              <w:rPr>
                <w:rStyle w:val="11"/>
                <w:rFonts w:ascii="宋体" w:hAnsi="宋体" w:eastAsia="宋体" w:cs="宋体"/>
                <w:bCs/>
                <w:szCs w:val="21"/>
              </w:rPr>
            </w:pPr>
            <w:r>
              <w:rPr>
                <w:rStyle w:val="11"/>
                <w:rFonts w:ascii="宋体" w:hAnsi="宋体" w:eastAsia="宋体" w:cs="宋体"/>
                <w:bCs/>
                <w:szCs w:val="21"/>
              </w:rPr>
              <w:t>被授权代表：</w:t>
            </w:r>
          </w:p>
        </w:tc>
      </w:tr>
      <w:tr w14:paraId="4783A33C">
        <w:tblPrEx>
          <w:tblCellMar>
            <w:top w:w="0" w:type="dxa"/>
            <w:left w:w="0" w:type="dxa"/>
            <w:bottom w:w="0" w:type="dxa"/>
            <w:right w:w="0" w:type="dxa"/>
          </w:tblCellMar>
        </w:tblPrEx>
        <w:trPr>
          <w:trHeight w:val="567" w:hRule="exact"/>
          <w:jc w:val="center"/>
        </w:trPr>
        <w:tc>
          <w:tcPr>
            <w:tcW w:w="4201" w:type="dxa"/>
            <w:noWrap w:val="0"/>
            <w:vAlign w:val="center"/>
          </w:tcPr>
          <w:p w14:paraId="7408DAFA">
            <w:pPr>
              <w:snapToGrid w:val="0"/>
              <w:spacing w:line="360" w:lineRule="auto"/>
              <w:jc w:val="left"/>
              <w:rPr>
                <w:rStyle w:val="11"/>
                <w:rFonts w:ascii="宋体" w:hAnsi="宋体" w:eastAsia="宋体" w:cs="宋体"/>
                <w:bCs/>
                <w:szCs w:val="21"/>
              </w:rPr>
            </w:pPr>
            <w:r>
              <w:rPr>
                <w:rStyle w:val="11"/>
                <w:rFonts w:ascii="宋体" w:hAnsi="宋体" w:eastAsia="宋体" w:cs="宋体"/>
                <w:bCs/>
                <w:szCs w:val="21"/>
              </w:rPr>
              <w:t>电话：</w:t>
            </w:r>
          </w:p>
        </w:tc>
        <w:tc>
          <w:tcPr>
            <w:tcW w:w="4202" w:type="dxa"/>
            <w:noWrap w:val="0"/>
            <w:vAlign w:val="center"/>
          </w:tcPr>
          <w:p w14:paraId="7F7C607B">
            <w:pPr>
              <w:snapToGrid w:val="0"/>
              <w:spacing w:line="360" w:lineRule="auto"/>
              <w:rPr>
                <w:rStyle w:val="11"/>
                <w:rFonts w:ascii="宋体" w:hAnsi="宋体" w:eastAsia="宋体" w:cs="宋体"/>
                <w:bCs/>
                <w:szCs w:val="21"/>
              </w:rPr>
            </w:pPr>
            <w:r>
              <w:rPr>
                <w:rStyle w:val="11"/>
                <w:rFonts w:ascii="宋体" w:hAnsi="宋体" w:eastAsia="宋体" w:cs="宋体"/>
                <w:bCs/>
                <w:szCs w:val="21"/>
              </w:rPr>
              <w:t>电话：</w:t>
            </w:r>
          </w:p>
        </w:tc>
      </w:tr>
      <w:tr w14:paraId="52E94474">
        <w:tblPrEx>
          <w:tblCellMar>
            <w:top w:w="0" w:type="dxa"/>
            <w:left w:w="0" w:type="dxa"/>
            <w:bottom w:w="0" w:type="dxa"/>
            <w:right w:w="0" w:type="dxa"/>
          </w:tblCellMar>
        </w:tblPrEx>
        <w:trPr>
          <w:trHeight w:val="567" w:hRule="exact"/>
          <w:jc w:val="center"/>
        </w:trPr>
        <w:tc>
          <w:tcPr>
            <w:tcW w:w="4201" w:type="dxa"/>
            <w:noWrap w:val="0"/>
            <w:vAlign w:val="center"/>
          </w:tcPr>
          <w:p w14:paraId="3953AF3B">
            <w:pPr>
              <w:snapToGrid w:val="0"/>
              <w:spacing w:line="360" w:lineRule="auto"/>
              <w:jc w:val="left"/>
              <w:rPr>
                <w:rStyle w:val="11"/>
                <w:rFonts w:ascii="宋体" w:hAnsi="宋体" w:eastAsia="宋体" w:cs="宋体"/>
                <w:bCs/>
                <w:szCs w:val="21"/>
              </w:rPr>
            </w:pPr>
            <w:r>
              <w:rPr>
                <w:rStyle w:val="11"/>
                <w:rFonts w:ascii="宋体" w:hAnsi="宋体" w:eastAsia="宋体" w:cs="宋体"/>
                <w:bCs/>
                <w:szCs w:val="21"/>
              </w:rPr>
              <w:t>传真：</w:t>
            </w:r>
          </w:p>
        </w:tc>
        <w:tc>
          <w:tcPr>
            <w:tcW w:w="4202" w:type="dxa"/>
            <w:noWrap w:val="0"/>
            <w:vAlign w:val="center"/>
          </w:tcPr>
          <w:p w14:paraId="159AEA22">
            <w:pPr>
              <w:snapToGrid w:val="0"/>
              <w:spacing w:line="360" w:lineRule="auto"/>
              <w:rPr>
                <w:rStyle w:val="11"/>
                <w:rFonts w:ascii="宋体" w:hAnsi="宋体" w:eastAsia="宋体" w:cs="宋体"/>
                <w:bCs/>
                <w:szCs w:val="21"/>
              </w:rPr>
            </w:pPr>
            <w:r>
              <w:rPr>
                <w:rStyle w:val="11"/>
                <w:rFonts w:ascii="宋体" w:hAnsi="宋体" w:eastAsia="宋体" w:cs="宋体"/>
                <w:bCs/>
                <w:szCs w:val="21"/>
              </w:rPr>
              <w:t>传真：</w:t>
            </w:r>
          </w:p>
        </w:tc>
      </w:tr>
      <w:tr w14:paraId="5ABDDD60">
        <w:tblPrEx>
          <w:tblCellMar>
            <w:top w:w="0" w:type="dxa"/>
            <w:left w:w="0" w:type="dxa"/>
            <w:bottom w:w="0" w:type="dxa"/>
            <w:right w:w="0" w:type="dxa"/>
          </w:tblCellMar>
        </w:tblPrEx>
        <w:trPr>
          <w:trHeight w:val="567" w:hRule="exact"/>
          <w:jc w:val="center"/>
        </w:trPr>
        <w:tc>
          <w:tcPr>
            <w:tcW w:w="4201" w:type="dxa"/>
            <w:noWrap w:val="0"/>
            <w:vAlign w:val="center"/>
          </w:tcPr>
          <w:p w14:paraId="3394E9A8">
            <w:pPr>
              <w:snapToGrid w:val="0"/>
              <w:spacing w:line="360" w:lineRule="auto"/>
              <w:jc w:val="left"/>
              <w:rPr>
                <w:rStyle w:val="11"/>
                <w:rFonts w:ascii="宋体" w:hAnsi="宋体" w:eastAsia="宋体" w:cs="宋体"/>
                <w:bCs/>
                <w:szCs w:val="21"/>
              </w:rPr>
            </w:pPr>
            <w:r>
              <w:rPr>
                <w:rStyle w:val="11"/>
                <w:rFonts w:ascii="宋体" w:hAnsi="宋体" w:eastAsia="宋体" w:cs="宋体"/>
                <w:bCs/>
                <w:szCs w:val="21"/>
              </w:rPr>
              <w:t>开户银行：</w:t>
            </w:r>
          </w:p>
        </w:tc>
        <w:tc>
          <w:tcPr>
            <w:tcW w:w="4202" w:type="dxa"/>
            <w:noWrap w:val="0"/>
            <w:vAlign w:val="center"/>
          </w:tcPr>
          <w:p w14:paraId="181779CE">
            <w:pPr>
              <w:snapToGrid w:val="0"/>
              <w:spacing w:line="360" w:lineRule="auto"/>
              <w:rPr>
                <w:rStyle w:val="11"/>
                <w:rFonts w:ascii="宋体" w:hAnsi="宋体" w:eastAsia="宋体" w:cs="宋体"/>
                <w:bCs/>
                <w:szCs w:val="21"/>
              </w:rPr>
            </w:pPr>
            <w:r>
              <w:rPr>
                <w:rStyle w:val="11"/>
                <w:rFonts w:ascii="宋体" w:hAnsi="宋体" w:eastAsia="宋体" w:cs="宋体"/>
                <w:bCs/>
                <w:szCs w:val="21"/>
              </w:rPr>
              <w:t>开户银行：</w:t>
            </w:r>
          </w:p>
        </w:tc>
      </w:tr>
      <w:tr w14:paraId="5523DC6C">
        <w:tblPrEx>
          <w:tblCellMar>
            <w:top w:w="0" w:type="dxa"/>
            <w:left w:w="0" w:type="dxa"/>
            <w:bottom w:w="0" w:type="dxa"/>
            <w:right w:w="0" w:type="dxa"/>
          </w:tblCellMar>
        </w:tblPrEx>
        <w:trPr>
          <w:trHeight w:val="567" w:hRule="exact"/>
          <w:jc w:val="center"/>
        </w:trPr>
        <w:tc>
          <w:tcPr>
            <w:tcW w:w="4201" w:type="dxa"/>
            <w:noWrap w:val="0"/>
            <w:vAlign w:val="center"/>
          </w:tcPr>
          <w:p w14:paraId="70703FD1">
            <w:pPr>
              <w:snapToGrid w:val="0"/>
              <w:spacing w:line="360" w:lineRule="auto"/>
              <w:jc w:val="left"/>
              <w:rPr>
                <w:rStyle w:val="11"/>
                <w:rFonts w:ascii="宋体" w:hAnsi="宋体" w:eastAsia="宋体" w:cs="宋体"/>
                <w:bCs/>
                <w:szCs w:val="21"/>
              </w:rPr>
            </w:pPr>
            <w:r>
              <w:rPr>
                <w:rStyle w:val="11"/>
                <w:rFonts w:ascii="宋体" w:hAnsi="宋体" w:eastAsia="宋体" w:cs="宋体"/>
                <w:bCs/>
                <w:szCs w:val="21"/>
              </w:rPr>
              <w:t>日期：</w:t>
            </w:r>
          </w:p>
        </w:tc>
        <w:tc>
          <w:tcPr>
            <w:tcW w:w="4202" w:type="dxa"/>
            <w:noWrap w:val="0"/>
            <w:vAlign w:val="center"/>
          </w:tcPr>
          <w:p w14:paraId="2F8794BD">
            <w:pPr>
              <w:snapToGrid w:val="0"/>
              <w:spacing w:line="360" w:lineRule="auto"/>
              <w:rPr>
                <w:rStyle w:val="11"/>
                <w:rFonts w:ascii="宋体" w:hAnsi="宋体" w:eastAsia="宋体" w:cs="宋体"/>
                <w:bCs/>
                <w:szCs w:val="21"/>
              </w:rPr>
            </w:pPr>
            <w:r>
              <w:rPr>
                <w:rStyle w:val="11"/>
                <w:rFonts w:ascii="宋体" w:hAnsi="宋体" w:eastAsia="宋体" w:cs="宋体"/>
                <w:bCs/>
                <w:szCs w:val="21"/>
              </w:rPr>
              <w:t>日期：</w:t>
            </w:r>
          </w:p>
        </w:tc>
      </w:tr>
    </w:tbl>
    <w:p w14:paraId="20BF7050">
      <w:pPr>
        <w:pStyle w:val="10"/>
        <w:spacing w:before="312"/>
        <w:jc w:val="center"/>
        <w:rPr>
          <w:rStyle w:val="11"/>
          <w:b/>
          <w:sz w:val="36"/>
          <w:szCs w:val="36"/>
        </w:rPr>
      </w:pPr>
      <w:r>
        <w:rPr>
          <w:rFonts w:hint="eastAsia" w:cs="宋体"/>
          <w:b/>
          <w:bCs/>
        </w:rPr>
        <w:t>说明：本合同只起提示作用，最终合同协议版本以双方实际签订合同为准。</w:t>
      </w:r>
    </w:p>
    <w:p w14:paraId="3B4CD5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49264dbb-bc56-4533-bed9-49f12631791b"/>
  </w:docVars>
  <w:rsids>
    <w:rsidRoot w:val="00000000"/>
    <w:rsid w:val="003E57E6"/>
    <w:rsid w:val="01DE79C2"/>
    <w:rsid w:val="0499092E"/>
    <w:rsid w:val="0E484B44"/>
    <w:rsid w:val="10A22BA9"/>
    <w:rsid w:val="15C63A09"/>
    <w:rsid w:val="20985C95"/>
    <w:rsid w:val="237962D0"/>
    <w:rsid w:val="24D57786"/>
    <w:rsid w:val="2531213C"/>
    <w:rsid w:val="26DA510B"/>
    <w:rsid w:val="2CD7745F"/>
    <w:rsid w:val="2FAF1936"/>
    <w:rsid w:val="319B3E09"/>
    <w:rsid w:val="32285343"/>
    <w:rsid w:val="37BF4EA1"/>
    <w:rsid w:val="392F5AEF"/>
    <w:rsid w:val="48E42C7A"/>
    <w:rsid w:val="4A916723"/>
    <w:rsid w:val="4DF14153"/>
    <w:rsid w:val="52A6792D"/>
    <w:rsid w:val="58A05DC9"/>
    <w:rsid w:val="5E5118DB"/>
    <w:rsid w:val="5E772C05"/>
    <w:rsid w:val="5FB8795D"/>
    <w:rsid w:val="670507E8"/>
    <w:rsid w:val="6CD93493"/>
    <w:rsid w:val="71652264"/>
    <w:rsid w:val="7430231A"/>
    <w:rsid w:val="7904014F"/>
    <w:rsid w:val="7A1D1596"/>
    <w:rsid w:val="7B09570B"/>
    <w:rsid w:val="7DDB2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1"/>
    <w:pPr>
      <w:ind w:left="490"/>
    </w:pPr>
    <w:rPr>
      <w:sz w:val="19"/>
      <w:szCs w:val="19"/>
    </w:rPr>
  </w:style>
  <w:style w:type="paragraph" w:styleId="4">
    <w:name w:val="footer"/>
    <w:basedOn w:val="1"/>
    <w:qFormat/>
    <w:uiPriority w:val="99"/>
    <w:pPr>
      <w:tabs>
        <w:tab w:val="center" w:pos="4153"/>
        <w:tab w:val="right" w:pos="8306"/>
      </w:tabs>
      <w:snapToGrid w:val="0"/>
      <w:jc w:val="left"/>
    </w:pPr>
    <w:rPr>
      <w:rFonts w:ascii="Calibri" w:hAnsi="Calibri" w:eastAsia="宋体" w:cs="Times New Roman"/>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9">
    <w:name w:val="正文1"/>
    <w:basedOn w:val="1"/>
    <w:qFormat/>
    <w:uiPriority w:val="99"/>
    <w:pPr>
      <w:spacing w:line="360" w:lineRule="auto"/>
      <w:ind w:right="240" w:firstLine="425" w:firstLineChars="177"/>
    </w:pPr>
    <w:rPr>
      <w:rFonts w:ascii="宋体" w:hAnsi="Cambria"/>
      <w:szCs w:val="24"/>
    </w:rPr>
  </w:style>
  <w:style w:type="paragraph" w:customStyle="1" w:styleId="10">
    <w:name w:val="BodyText2"/>
    <w:basedOn w:val="1"/>
    <w:qFormat/>
    <w:uiPriority w:val="0"/>
    <w:pPr>
      <w:snapToGrid w:val="0"/>
      <w:spacing w:line="480" w:lineRule="atLeast"/>
    </w:pPr>
    <w:rPr>
      <w:rFonts w:ascii="宋体" w:hAnsi="宋体"/>
      <w:sz w:val="28"/>
    </w:rPr>
  </w:style>
  <w:style w:type="character" w:customStyle="1" w:styleId="11">
    <w:name w:val="NormalCharacter"/>
    <w:semiHidden/>
    <w:qFormat/>
    <w:uiPriority w:val="0"/>
  </w:style>
  <w:style w:type="paragraph" w:customStyle="1" w:styleId="12">
    <w:name w:val="正文文本1"/>
    <w:basedOn w:val="1"/>
    <w:autoRedefine/>
    <w:qFormat/>
    <w:uiPriority w:val="0"/>
    <w:pPr>
      <w:spacing w:after="130" w:line="324" w:lineRule="auto"/>
      <w:ind w:firstLine="400"/>
      <w:jc w:val="left"/>
    </w:pPr>
    <w:rPr>
      <w:rFonts w:ascii="宋体" w:hAnsi="宋体" w:cs="宋体"/>
      <w:color w:val="E47A6E"/>
      <w:sz w:val="20"/>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3526</Words>
  <Characters>3585</Characters>
  <Lines>0</Lines>
  <Paragraphs>0</Paragraphs>
  <TotalTime>9</TotalTime>
  <ScaleCrop>false</ScaleCrop>
  <LinksUpToDate>false</LinksUpToDate>
  <CharactersWithSpaces>3645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2023-12-08T09:43:00Z</dcterms:created>
  <dc:creator>Administrator</dc:creator>
  <cp:lastModifiedBy>王浩</cp:lastModifiedBy>
  <dcterms:modified xsi:type="dcterms:W3CDTF">2025-05-30T03:51:40Z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6DD13D97B587414A8CEBF3B8788BCFD1_12</vt:lpwstr>
  </property>
  <property fmtid="{D5CDD505-2E9C-101B-9397-08002B2CF9AE}" pid="4" name="KSOTemplateDocerSaveRecord">
    <vt:lpwstr>eyJoZGlkIjoiYzc3OTBlYTMxMTllMjIwOWQ1NDUxZDc1NDhlZWI0MzMiLCJ1c2VySWQiOiIxNDYyMTI5MzQ0In0=</vt:lpwstr>
  </property>
</Properties>
</file>