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版本号：SZT2025-SN-QC-ZC-FW-039920250520001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网站及政务公开建设运维服务项目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SZT2025-SN-QC-ZC-FW-0399</w:t>
      </w:r>
      <w:r>
        <w:br/>
      </w:r>
      <w:r>
        <w:br/>
      </w:r>
      <w:r>
        <w:br/>
      </w:r>
    </w:p>
    <w:p>
      <w:pPr>
        <w:pStyle w:val="null3"/>
        <w:jc w:val="center"/>
        <w:outlineLvl w:val="2"/>
      </w:pPr>
      <w:r>
        <w:rPr>
          <w:rFonts w:ascii="仿宋_GB2312" w:hAnsi="仿宋_GB2312" w:cs="仿宋_GB2312" w:eastAsia="仿宋_GB2312"/>
          <w:sz w:val="28"/>
          <w:b/>
        </w:rPr>
        <w:t>西安市住房和城乡建设局（本级）</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西安市住房和城乡建设局（本级）</w:t>
      </w:r>
      <w:r>
        <w:rPr>
          <w:rFonts w:ascii="仿宋_GB2312" w:hAnsi="仿宋_GB2312" w:cs="仿宋_GB2312" w:eastAsia="仿宋_GB2312"/>
        </w:rPr>
        <w:t>委托，拟对</w:t>
      </w:r>
      <w:r>
        <w:rPr>
          <w:rFonts w:ascii="仿宋_GB2312" w:hAnsi="仿宋_GB2312" w:cs="仿宋_GB2312" w:eastAsia="仿宋_GB2312"/>
        </w:rPr>
        <w:t>网站及政务公开建设运维服务项目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SZT2025-SN-QC-ZC-FW-0399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网站及政务公开建设运维服务项目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2020年，西安市住建局网站已统一迁移至西安市政府网站集约化平台，根据《西安市政府网站集约化平台管理办法》要求，为贯彻落实国家关于推进政务公开、深化“互联网+政务服务”的工作部署，进一步提升本单位网站集约化建设水平和政务新媒体监管效能，现就网站及政务公开建设运维服务项目进行采购招标。</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采购包1（网站及政务公开建设运维服务项目）：属于专门面向中小企业采购。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西安市住房和城乡建设局（本级）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西安市雁塔南路300-9号A座西安建设大厦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西安市住房和城乡建设局（本级）经办杨成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88668105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西安市高新区高新四路1号高科广场A座10楼1001室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杨艳、李毓菲、李娜、单博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029-88364979-872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30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由成交供应商承担，成交供应商在领取中标通知书时向采购代理机构支付招标代理服务费。招标代理服务费的收取按照国家计委颁布的《招标代理服务收费管理暂行办法》（计价格[2002]1980号）和（发改办价格[2003]857号）中服务类收费标准收取。 开户名称：陕西中技招标有限公司 开户行名称：招商银行西安分行营业部 账 号：129916812810001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西安市住房和城乡建设局（本级）</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西安市住房和城乡建设局（本级）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西安市住房和城乡建设局（本级）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按采购文件、响应文件及合同约定执行。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联系电话：029-88364979-856</w:t>
      </w:r>
    </w:p>
    <w:p>
      <w:pPr>
        <w:pStyle w:val="null3"/>
      </w:pPr>
      <w:r>
        <w:rPr>
          <w:rFonts w:ascii="仿宋_GB2312" w:hAnsi="仿宋_GB2312" w:cs="仿宋_GB2312" w:eastAsia="仿宋_GB2312"/>
        </w:rPr>
        <w:t>地址：西安市高新区高新四路1号高科广场A座1001室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2020年，西安市住建局网站已统一迁移至西安市政府网站集约化平台，根据《西安市政府网站集约化平台管理办法》要求，为贯彻落实国家关于推进政务公开、深化“互联网+政务服务”的工作部署，进一步提升本单位网站集约化建设水平和政务新媒体监管效能，现就网站及政务公开建设运维服务项目进行采购招标。</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西安市住建局 网站及政务公开建设运维服务项目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标的名称：西安市住建局 网站及政务公开建设运维服务项目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w:t>
            </w:r>
            <w:r>
              <w:rPr>
                <w:rFonts w:ascii="仿宋_GB2312" w:hAnsi="仿宋_GB2312" w:cs="仿宋_GB2312" w:eastAsia="仿宋_GB2312"/>
              </w:rPr>
              <w:t>项目背景</w:t>
            </w:r>
          </w:p>
          <w:p>
            <w:pPr>
              <w:pStyle w:val="null3"/>
            </w:pPr>
            <w:r>
              <w:rPr>
                <w:rFonts w:ascii="仿宋_GB2312" w:hAnsi="仿宋_GB2312" w:cs="仿宋_GB2312" w:eastAsia="仿宋_GB2312"/>
              </w:rPr>
              <w:t>2020年，西安市住建局网站已统一迁移至西安市政府网站集约化平台，根据《西安市政府网站集约化平台管理办法》要求，为贯彻落实国家关于推进政务公开、深化“互联网+政务服务”的工作部署，进一步提升本单位网站集约化建设水平和政务新媒体监管效能，现就网站及政务公开建设运维服务项目进行采购招标。</w:t>
            </w:r>
          </w:p>
          <w:p>
            <w:pPr>
              <w:pStyle w:val="null3"/>
            </w:pPr>
            <w:r>
              <w:rPr>
                <w:rFonts w:ascii="仿宋_GB2312" w:hAnsi="仿宋_GB2312" w:cs="仿宋_GB2312" w:eastAsia="仿宋_GB2312"/>
              </w:rPr>
              <w:t>2</w:t>
            </w:r>
            <w:r>
              <w:rPr>
                <w:rFonts w:ascii="仿宋_GB2312" w:hAnsi="仿宋_GB2312" w:cs="仿宋_GB2312" w:eastAsia="仿宋_GB2312"/>
              </w:rPr>
              <w:t>技术要求</w:t>
            </w:r>
          </w:p>
          <w:p>
            <w:pPr>
              <w:pStyle w:val="null3"/>
            </w:pPr>
            <w:r>
              <w:rPr>
                <w:rFonts w:ascii="仿宋_GB2312" w:hAnsi="仿宋_GB2312" w:cs="仿宋_GB2312" w:eastAsia="仿宋_GB2312"/>
              </w:rPr>
              <w:t>西安市住建局网站及政务公开建设运维服务项目需基于</w:t>
            </w:r>
            <w:r>
              <w:rPr>
                <w:rFonts w:ascii="仿宋_GB2312" w:hAnsi="仿宋_GB2312" w:cs="仿宋_GB2312" w:eastAsia="仿宋_GB2312"/>
              </w:rPr>
              <w:t>“西安市政府网站集约化平台”进行实施，因此需熟悉西安市政府网站集约化平台功能架构、部署实施、开发环境等。</w:t>
            </w:r>
          </w:p>
          <w:p>
            <w:pPr>
              <w:pStyle w:val="null3"/>
            </w:pPr>
            <w:r>
              <w:rPr>
                <w:rFonts w:ascii="仿宋_GB2312" w:hAnsi="仿宋_GB2312" w:cs="仿宋_GB2312" w:eastAsia="仿宋_GB2312"/>
              </w:rPr>
              <w:t>3</w:t>
            </w:r>
            <w:r>
              <w:rPr>
                <w:rFonts w:ascii="仿宋_GB2312" w:hAnsi="仿宋_GB2312" w:cs="仿宋_GB2312" w:eastAsia="仿宋_GB2312"/>
              </w:rPr>
              <w:t>服务内容</w:t>
            </w:r>
            <w:r>
              <w:rPr>
                <w:rFonts w:ascii="仿宋_GB2312" w:hAnsi="仿宋_GB2312" w:cs="仿宋_GB2312" w:eastAsia="仿宋_GB2312"/>
              </w:rPr>
              <w:t>及要求</w:t>
            </w:r>
          </w:p>
          <w:p>
            <w:pPr>
              <w:pStyle w:val="null3"/>
            </w:pPr>
            <w:r>
              <w:rPr>
                <w:rFonts w:ascii="仿宋_GB2312" w:hAnsi="仿宋_GB2312" w:cs="仿宋_GB2312" w:eastAsia="仿宋_GB2312"/>
              </w:rPr>
              <w:t>3.1</w:t>
            </w:r>
            <w:r>
              <w:rPr>
                <w:rFonts w:ascii="仿宋_GB2312" w:hAnsi="仿宋_GB2312" w:cs="仿宋_GB2312" w:eastAsia="仿宋_GB2312"/>
              </w:rPr>
              <w:t>网站问答服务建设</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构建政策问答知识库</w:t>
            </w:r>
          </w:p>
          <w:p>
            <w:pPr>
              <w:pStyle w:val="null3"/>
            </w:pPr>
            <w:r>
              <w:rPr>
                <w:rFonts w:ascii="仿宋_GB2312" w:hAnsi="仿宋_GB2312" w:cs="仿宋_GB2312" w:eastAsia="仿宋_GB2312"/>
              </w:rPr>
              <w:t>构建标准化政策问答知识库，实现与现行有效政策文件相关的各类问答信息的梳理、汇集、管理和发布，面向用户提供政策问答信息的智能检索、分类浏览及动态更新服务。同时，政策问答信息可纳入智能问答知识库，实现统一应用。</w:t>
            </w:r>
          </w:p>
          <w:p>
            <w:pPr>
              <w:pStyle w:val="null3"/>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开发智能问答模块</w:t>
            </w:r>
          </w:p>
          <w:p>
            <w:pPr>
              <w:pStyle w:val="null3"/>
            </w:pPr>
            <w:r>
              <w:rPr>
                <w:rFonts w:ascii="仿宋_GB2312" w:hAnsi="仿宋_GB2312" w:cs="仿宋_GB2312" w:eastAsia="仿宋_GB2312"/>
              </w:rPr>
              <w:t>采用自然语言处理、大模型、智能搜索等技术，基于政策问答知识库实现业务咨询的智能化、即时化交流，提供</w:t>
            </w:r>
            <w:r>
              <w:rPr>
                <w:rFonts w:ascii="仿宋_GB2312" w:hAnsi="仿宋_GB2312" w:cs="仿宋_GB2312" w:eastAsia="仿宋_GB2312"/>
              </w:rPr>
              <w:t>7*24小时自动化、场景化和交互式问答服务。</w:t>
            </w:r>
          </w:p>
          <w:p>
            <w:pPr>
              <w:pStyle w:val="null3"/>
            </w:pPr>
            <w:r>
              <w:rPr>
                <w:rFonts w:ascii="仿宋_GB2312" w:hAnsi="仿宋_GB2312" w:cs="仿宋_GB2312" w:eastAsia="仿宋_GB2312"/>
              </w:rPr>
              <w:t>3.2</w:t>
            </w:r>
            <w:r>
              <w:rPr>
                <w:rFonts w:ascii="仿宋_GB2312" w:hAnsi="仿宋_GB2312" w:cs="仿宋_GB2312" w:eastAsia="仿宋_GB2312"/>
              </w:rPr>
              <w:t>网站运维提升服务</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网站技术维护</w:t>
            </w:r>
          </w:p>
          <w:p>
            <w:pPr>
              <w:pStyle w:val="null3"/>
            </w:pPr>
            <w:r>
              <w:rPr>
                <w:rFonts w:ascii="仿宋_GB2312" w:hAnsi="仿宋_GB2312" w:cs="仿宋_GB2312" w:eastAsia="仿宋_GB2312"/>
              </w:rPr>
              <w:t>提供网站日常技术运维服务，具体包括问题诊断与修改、网站监控、性能优化、系统管理、安全管理、技术咨询、专项保障、应急响应等服务。</w:t>
            </w:r>
          </w:p>
          <w:p>
            <w:pPr>
              <w:pStyle w:val="null3"/>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网站页面优化</w:t>
            </w:r>
          </w:p>
          <w:p>
            <w:pPr>
              <w:pStyle w:val="null3"/>
            </w:pPr>
            <w:r>
              <w:rPr>
                <w:rFonts w:ascii="仿宋_GB2312" w:hAnsi="仿宋_GB2312" w:cs="仿宋_GB2312" w:eastAsia="仿宋_GB2312"/>
              </w:rPr>
              <w:t>依据中省市政府网站及政务公开考核要求或实际业务需求，提供网站页面优化调整、网站栏目及展示方式调整、网站图片制作、网站数据处理与统计分析等服务。</w:t>
            </w:r>
          </w:p>
          <w:p>
            <w:pPr>
              <w:pStyle w:val="null3"/>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专题策划与制作</w:t>
            </w:r>
          </w:p>
          <w:p>
            <w:pPr>
              <w:pStyle w:val="null3"/>
            </w:pPr>
            <w:r>
              <w:rPr>
                <w:rFonts w:ascii="仿宋_GB2312" w:hAnsi="仿宋_GB2312" w:cs="仿宋_GB2312" w:eastAsia="仿宋_GB2312"/>
              </w:rPr>
              <w:t>根据中省市要求及部门重点工作和热点活动需要，规划建设网站专题专栏，提供专题专栏策划与制作服务，专题制作流程具体包括设计、切图、制作模板、创建专题栏目、实施、测试、交付。（全年不少于</w:t>
            </w:r>
            <w:r>
              <w:rPr>
                <w:rFonts w:ascii="仿宋_GB2312" w:hAnsi="仿宋_GB2312" w:cs="仿宋_GB2312" w:eastAsia="仿宋_GB2312"/>
              </w:rPr>
              <w:t>5个专题专栏）。</w:t>
            </w:r>
          </w:p>
          <w:p>
            <w:pPr>
              <w:pStyle w:val="null3"/>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w:t>
            </w:r>
            <w:r>
              <w:rPr>
                <w:rFonts w:ascii="仿宋_GB2312" w:hAnsi="仿宋_GB2312" w:cs="仿宋_GB2312" w:eastAsia="仿宋_GB2312"/>
              </w:rPr>
              <w:t>政策解读服务</w:t>
            </w:r>
          </w:p>
          <w:p>
            <w:pPr>
              <w:pStyle w:val="null3"/>
            </w:pPr>
            <w:r>
              <w:rPr>
                <w:rFonts w:ascii="仿宋_GB2312" w:hAnsi="仿宋_GB2312" w:cs="仿宋_GB2312" w:eastAsia="仿宋_GB2312"/>
              </w:rPr>
              <w:t>开展本部门相关政策、重要文件、部门会议、统计分析等重点信息政策解读的设计、制作和发布，具体包括政策图解和动漫解读等形式（全年政策图解不少于</w:t>
            </w:r>
            <w:r>
              <w:rPr>
                <w:rFonts w:ascii="仿宋_GB2312" w:hAnsi="仿宋_GB2312" w:cs="仿宋_GB2312" w:eastAsia="仿宋_GB2312"/>
              </w:rPr>
              <w:t>10个，动漫解读不少于3个）。</w:t>
            </w:r>
          </w:p>
          <w:p>
            <w:pPr>
              <w:pStyle w:val="null3"/>
            </w:pPr>
            <w:r>
              <w:rPr>
                <w:rFonts w:ascii="仿宋_GB2312" w:hAnsi="仿宋_GB2312" w:cs="仿宋_GB2312" w:eastAsia="仿宋_GB2312"/>
              </w:rPr>
              <w:t>3.3</w:t>
            </w:r>
            <w:r>
              <w:rPr>
                <w:rFonts w:ascii="仿宋_GB2312" w:hAnsi="仿宋_GB2312" w:cs="仿宋_GB2312" w:eastAsia="仿宋_GB2312"/>
              </w:rPr>
              <w:t>网站日常普查监测服务</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系统实时监测</w:t>
            </w:r>
          </w:p>
          <w:p>
            <w:pPr>
              <w:pStyle w:val="null3"/>
            </w:pPr>
            <w:r>
              <w:rPr>
                <w:rFonts w:ascii="仿宋_GB2312" w:hAnsi="仿宋_GB2312" w:cs="仿宋_GB2312" w:eastAsia="仿宋_GB2312"/>
              </w:rPr>
              <w:t>提供网站监测系统，针对网站进行</w:t>
            </w:r>
            <w:r>
              <w:rPr>
                <w:rFonts w:ascii="仿宋_GB2312" w:hAnsi="仿宋_GB2312" w:cs="仿宋_GB2312" w:eastAsia="仿宋_GB2312"/>
              </w:rPr>
              <w:t>7*24小时实时监测，实现网站首页更新、栏目更新、错敏信息、隐私泄露、外链暗链、首页连通性、栏目连通性、链接可用性等方面的实时监测和扫描，针对监测出的问题，及时预警提醒。支持手机短信、微信、邮件等预警方式。</w:t>
            </w:r>
          </w:p>
          <w:p>
            <w:pPr>
              <w:pStyle w:val="null3"/>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人工全面检测</w:t>
            </w:r>
          </w:p>
          <w:p>
            <w:pPr>
              <w:pStyle w:val="null3"/>
            </w:pPr>
            <w:r>
              <w:rPr>
                <w:rFonts w:ascii="仿宋_GB2312" w:hAnsi="仿宋_GB2312" w:cs="仿宋_GB2312" w:eastAsia="仿宋_GB2312"/>
              </w:rPr>
              <w:t>根据《政府网站与政务新媒体检查指标》（国办秘函</w:t>
            </w:r>
            <w:r>
              <w:rPr>
                <w:rFonts w:ascii="仿宋_GB2312" w:hAnsi="仿宋_GB2312" w:cs="仿宋_GB2312" w:eastAsia="仿宋_GB2312"/>
              </w:rPr>
              <w:t>2019 19号文件），按季度提供全面人工检查、核实与监测服务，结合系统监测结果，出具全面的监测报告。</w:t>
            </w:r>
          </w:p>
          <w:p>
            <w:pPr>
              <w:pStyle w:val="null3"/>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错敏信息监测</w:t>
            </w:r>
          </w:p>
          <w:p>
            <w:pPr>
              <w:pStyle w:val="null3"/>
            </w:pPr>
            <w:r>
              <w:rPr>
                <w:rFonts w:ascii="仿宋_GB2312" w:hAnsi="仿宋_GB2312" w:cs="仿宋_GB2312" w:eastAsia="仿宋_GB2312"/>
              </w:rPr>
              <w:t>提供网站错敏信息监测服务，针对网站各类严重表述错误、错别字、敏感词和隐私泄露等进行实时监测、人工校对审核和预警提醒，人工复核准确率</w:t>
            </w:r>
            <w:r>
              <w:rPr>
                <w:rFonts w:ascii="仿宋_GB2312" w:hAnsi="仿宋_GB2312" w:cs="仿宋_GB2312" w:eastAsia="仿宋_GB2312"/>
              </w:rPr>
              <w:t>≥98%。</w:t>
            </w:r>
          </w:p>
          <w:p>
            <w:pPr>
              <w:pStyle w:val="null3"/>
            </w:pPr>
            <w:r>
              <w:rPr>
                <w:rFonts w:ascii="仿宋_GB2312" w:hAnsi="仿宋_GB2312" w:cs="仿宋_GB2312" w:eastAsia="仿宋_GB2312"/>
              </w:rPr>
              <w:t>3.4</w:t>
            </w:r>
            <w:r>
              <w:rPr>
                <w:rFonts w:ascii="仿宋_GB2312" w:hAnsi="仿宋_GB2312" w:cs="仿宋_GB2312" w:eastAsia="仿宋_GB2312"/>
              </w:rPr>
              <w:t>政务新媒体监测服务</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提供政务新媒体监测系统</w:t>
            </w:r>
          </w:p>
          <w:p>
            <w:pPr>
              <w:pStyle w:val="null3"/>
            </w:pPr>
            <w:r>
              <w:rPr>
                <w:rFonts w:ascii="仿宋_GB2312" w:hAnsi="仿宋_GB2312" w:cs="仿宋_GB2312" w:eastAsia="仿宋_GB2312"/>
              </w:rPr>
              <w:t>提供政务新媒体监测系统，对单位下属政务微信、微博等新媒体账号的内容更新、错敏信息、隐私泄露、外链暗链等实施动态监测和预警提醒。</w:t>
            </w:r>
          </w:p>
          <w:p>
            <w:pPr>
              <w:pStyle w:val="null3"/>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按季度输出监测分析报告</w:t>
            </w:r>
          </w:p>
          <w:p>
            <w:pPr>
              <w:pStyle w:val="null3"/>
            </w:pPr>
            <w:r>
              <w:rPr>
                <w:rFonts w:ascii="仿宋_GB2312" w:hAnsi="仿宋_GB2312" w:cs="仿宋_GB2312" w:eastAsia="仿宋_GB2312"/>
              </w:rPr>
              <w:t>按季度输出监测分析报告，针对新媒体内容更新、栏目可用性、功能可用性、互动回应、账号运营情况等进行全面检查。</w:t>
            </w:r>
          </w:p>
          <w:p>
            <w:pPr>
              <w:pStyle w:val="null3"/>
            </w:pPr>
            <w:r>
              <w:rPr>
                <w:rFonts w:ascii="仿宋_GB2312" w:hAnsi="仿宋_GB2312" w:cs="仿宋_GB2312" w:eastAsia="仿宋_GB2312"/>
              </w:rPr>
              <w:t>3.5</w:t>
            </w:r>
            <w:r>
              <w:rPr>
                <w:rFonts w:ascii="仿宋_GB2312" w:hAnsi="仿宋_GB2312" w:cs="仿宋_GB2312" w:eastAsia="仿宋_GB2312"/>
              </w:rPr>
              <w:t>驻场运维服务</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派驻不少于</w:t>
            </w:r>
            <w:r>
              <w:rPr>
                <w:rFonts w:ascii="仿宋_GB2312" w:hAnsi="仿宋_GB2312" w:cs="仿宋_GB2312" w:eastAsia="仿宋_GB2312"/>
              </w:rPr>
              <w:t>2名专职运维人员，负责网站日常内容发布和维护管理、信息审核、网站日常检查、网站错敏信息修改、网站内容断错链修改、网站问题整改跟踪、需求收集与反馈、留言处理等工作。</w:t>
            </w:r>
          </w:p>
          <w:p>
            <w:pPr>
              <w:pStyle w:val="null3"/>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协助完成季度</w:t>
            </w:r>
            <w:r>
              <w:rPr>
                <w:rFonts w:ascii="仿宋_GB2312" w:hAnsi="仿宋_GB2312" w:cs="仿宋_GB2312" w:eastAsia="仿宋_GB2312"/>
              </w:rPr>
              <w:t>/年度网站自查、国办普查迎检及《政府网站工作报表》编制。</w:t>
            </w:r>
          </w:p>
          <w:p>
            <w:pPr>
              <w:pStyle w:val="null3"/>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提供网站运维培训服务，每年开展不少于</w:t>
            </w:r>
            <w:r>
              <w:rPr>
                <w:rFonts w:ascii="仿宋_GB2312" w:hAnsi="仿宋_GB2312" w:cs="仿宋_GB2312" w:eastAsia="仿宋_GB2312"/>
              </w:rPr>
              <w:t>2次业务培训，覆盖信息编辑、审核发布等全流程操作规范。</w:t>
            </w:r>
          </w:p>
          <w:p>
            <w:pPr>
              <w:pStyle w:val="null3"/>
            </w:pPr>
            <w:r>
              <w:rPr>
                <w:rFonts w:ascii="仿宋_GB2312" w:hAnsi="仿宋_GB2312" w:cs="仿宋_GB2312" w:eastAsia="仿宋_GB2312"/>
              </w:rPr>
              <w:t>4</w:t>
            </w:r>
            <w:r>
              <w:rPr>
                <w:rFonts w:ascii="仿宋_GB2312" w:hAnsi="仿宋_GB2312" w:cs="仿宋_GB2312" w:eastAsia="仿宋_GB2312"/>
              </w:rPr>
              <w:t>其他要求</w:t>
            </w:r>
          </w:p>
          <w:p>
            <w:pPr>
              <w:pStyle w:val="null3"/>
            </w:pPr>
            <w:r>
              <w:rPr>
                <w:rFonts w:ascii="仿宋_GB2312" w:hAnsi="仿宋_GB2312" w:cs="仿宋_GB2312" w:eastAsia="仿宋_GB2312"/>
              </w:rPr>
              <w:t>4.1</w:t>
            </w:r>
            <w:r>
              <w:rPr>
                <w:rFonts w:ascii="仿宋_GB2312" w:hAnsi="仿宋_GB2312" w:cs="仿宋_GB2312" w:eastAsia="仿宋_GB2312"/>
              </w:rPr>
              <w:t>运维服务要求</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服务周期</w:t>
            </w:r>
            <w:r>
              <w:rPr>
                <w:rFonts w:ascii="仿宋_GB2312" w:hAnsi="仿宋_GB2312" w:cs="仿宋_GB2312" w:eastAsia="仿宋_GB2312"/>
              </w:rPr>
              <w:t>1年。</w:t>
            </w:r>
          </w:p>
          <w:p>
            <w:pPr>
              <w:pStyle w:val="null3"/>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明确承诺服务响应</w:t>
            </w:r>
            <w:r>
              <w:rPr>
                <w:rFonts w:ascii="仿宋_GB2312" w:hAnsi="仿宋_GB2312" w:cs="仿宋_GB2312" w:eastAsia="仿宋_GB2312"/>
              </w:rPr>
              <w:t xml:space="preserve"> </w:t>
            </w:r>
            <w:r>
              <w:rPr>
                <w:rFonts w:ascii="仿宋_GB2312" w:hAnsi="仿宋_GB2312" w:cs="仿宋_GB2312" w:eastAsia="仿宋_GB2312"/>
              </w:rPr>
              <w:t xml:space="preserve">7*24 </w:t>
            </w:r>
            <w:r>
              <w:rPr>
                <w:rFonts w:ascii="仿宋_GB2312" w:hAnsi="仿宋_GB2312" w:cs="仿宋_GB2312" w:eastAsia="仿宋_GB2312"/>
              </w:rPr>
              <w:t>小时电话服务，半小时内做出明确响应和安排，</w:t>
            </w:r>
            <w:r>
              <w:rPr>
                <w:rFonts w:ascii="仿宋_GB2312" w:hAnsi="仿宋_GB2312" w:cs="仿宋_GB2312" w:eastAsia="仿宋_GB2312"/>
              </w:rPr>
              <w:t xml:space="preserve">1 </w:t>
            </w:r>
            <w:r>
              <w:rPr>
                <w:rFonts w:ascii="仿宋_GB2312" w:hAnsi="仿宋_GB2312" w:cs="仿宋_GB2312" w:eastAsia="仿宋_GB2312"/>
              </w:rPr>
              <w:t>小时内到达现场，</w:t>
            </w:r>
            <w:r>
              <w:rPr>
                <w:rFonts w:ascii="仿宋_GB2312" w:hAnsi="仿宋_GB2312" w:cs="仿宋_GB2312" w:eastAsia="仿宋_GB2312"/>
              </w:rPr>
              <w:t xml:space="preserve">2 </w:t>
            </w:r>
            <w:r>
              <w:rPr>
                <w:rFonts w:ascii="仿宋_GB2312" w:hAnsi="仿宋_GB2312" w:cs="仿宋_GB2312" w:eastAsia="仿宋_GB2312"/>
              </w:rPr>
              <w:t>小时内做出相应的故障或责任判断，并协助采购人处理后继事宜。</w:t>
            </w:r>
          </w:p>
          <w:p>
            <w:pPr>
              <w:pStyle w:val="null3"/>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须详细说明实施本项目拟采用的团队组织方法和具体项目组织机构，保证在此项目服务期间有足够的人力投入和人员的质量。</w:t>
            </w:r>
          </w:p>
          <w:p>
            <w:pPr>
              <w:pStyle w:val="null3"/>
            </w:pPr>
            <w:r>
              <w:rPr>
                <w:rFonts w:ascii="仿宋_GB2312" w:hAnsi="仿宋_GB2312" w:cs="仿宋_GB2312" w:eastAsia="仿宋_GB2312"/>
              </w:rPr>
              <w:t>4.2</w:t>
            </w:r>
            <w:r>
              <w:rPr>
                <w:rFonts w:ascii="仿宋_GB2312" w:hAnsi="仿宋_GB2312" w:cs="仿宋_GB2312" w:eastAsia="仿宋_GB2312"/>
              </w:rPr>
              <w:t>质量保证要求</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符合国家有关规范要求，确保项目完成后达到最佳运行状态。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投标人必须按照项目质量管理和质量保证体系，提出具体措施，确保项目质量。</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达到服务要求所必须的人员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达到服务要求所必须的设备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服务期限为1年（具体以合同签订时间为准）。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按采购文件、响应文件及合同约定执行。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合同签订后，先付合同总金额的60%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服务结束后，根据考核成绩，合格付合同总金额的40%（考核满分100，合格线为90，低于90分，每一分扣合同总金额的1%）</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按采购文件、响应文件及合同约定执行。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成交供应商在领取中标通知书时提供2套纸质响应文件（1正1副），纸质版响应文件应与线上电子响应文件保持一致并加盖公章。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2、具有良好的商业信誉和健全的财务会计制度（提供2023或2024年度财务审计报告或开标前6个月内银行资信证明或财政部门认可的政府采购专业担保机构出具的投标担保函）； 3、具有履行合同所必需的设备和专业技术能力的书面声明（格式详见附件）； 4、具有依法缴纳税收和社会保障资金的良好记录（提供开标前12个月内任一月份的社保和缴纳税收的证明，依法不需要缴纳社会保障资金、免税或无须缴纳税款的供应商，应提供相关证明文件)； 5、参加政府采购活动前 3 年内在经营活动中没有重大违法记录的书面声明（格式详见附件）。</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具有良好的商业信誉和健全的财务会计制度（提供2023或2024年度财务审计报告或开标前6个月内银行资信证明或财政部门认可的政府采购专业担保机构出具的投标担保函）。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供应商参加政府采购活动承诺书.docx 响应文件封面 供应商拒绝政府采购领域商业贿赂承诺书.docx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法定代表授权委托书及被授权人身份证件（法定代表人直接投标，只须提交其身份证）。</w:t>
            </w:r>
          </w:p>
        </w:tc>
        <w:tc>
          <w:tcPr>
            <w:tcW w:type="dxa" w:w="1661"/>
          </w:tcPr>
          <w:p>
            <w:pPr>
              <w:pStyle w:val="null3"/>
            </w:pPr>
            <w:r>
              <w:rPr>
                <w:rFonts w:ascii="仿宋_GB2312" w:hAnsi="仿宋_GB2312" w:cs="仿宋_GB2312" w:eastAsia="仿宋_GB2312"/>
              </w:rPr>
              <w:t>法定代表人授权书.docx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本项目为专门面向中小企业采购的采购项目</w:t>
            </w:r>
          </w:p>
        </w:tc>
        <w:tc>
          <w:tcPr>
            <w:tcW w:type="dxa" w:w="3322"/>
          </w:tcPr>
          <w:p>
            <w:pPr>
              <w:pStyle w:val="null3"/>
            </w:pPr>
            <w:r>
              <w:rPr>
                <w:rFonts w:ascii="仿宋_GB2312" w:hAnsi="仿宋_GB2312" w:cs="仿宋_GB2312" w:eastAsia="仿宋_GB2312"/>
              </w:rPr>
              <w:t>仅限符合《政府采购促进中小企业发展办法》（财库〔2020〕46号）条件的中小企业参与，供应商应填写中小企业声明函并对真实性负责。（残疾人福利性企业及监狱企业视同为小型、微型企业）。</w:t>
            </w:r>
          </w:p>
        </w:tc>
        <w:tc>
          <w:tcPr>
            <w:tcW w:type="dxa" w:w="1661"/>
          </w:tcPr>
          <w:p>
            <w:pPr>
              <w:pStyle w:val="null3"/>
            </w:pPr>
            <w:r>
              <w:rPr>
                <w:rFonts w:ascii="仿宋_GB2312" w:hAnsi="仿宋_GB2312" w:cs="仿宋_GB2312" w:eastAsia="仿宋_GB2312"/>
              </w:rPr>
              <w:t>中小企业声明函 残疾人福利性单位声明函 供应商资格证明文件.docx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关于联合体投标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本项目不接受联合体投标.docx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服务期按磋商文件要求响应。</w:t>
            </w:r>
          </w:p>
        </w:tc>
        <w:tc>
          <w:tcPr>
            <w:tcW w:type="dxa" w:w="1661"/>
          </w:tcPr>
          <w:p>
            <w:pPr>
              <w:pStyle w:val="null3"/>
            </w:pPr>
            <w:r>
              <w:rPr>
                <w:rFonts w:ascii="仿宋_GB2312" w:hAnsi="仿宋_GB2312" w:cs="仿宋_GB2312" w:eastAsia="仿宋_GB2312"/>
              </w:rPr>
              <w:t>商务要求偏离表.docx 磋商报价表.docx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付款方式响应磋商文件的要求响应。</w:t>
            </w:r>
          </w:p>
        </w:tc>
        <w:tc>
          <w:tcPr>
            <w:tcW w:type="dxa" w:w="1661"/>
          </w:tcPr>
          <w:p>
            <w:pPr>
              <w:pStyle w:val="null3"/>
            </w:pPr>
            <w:r>
              <w:rPr>
                <w:rFonts w:ascii="仿宋_GB2312" w:hAnsi="仿宋_GB2312" w:cs="仿宋_GB2312" w:eastAsia="仿宋_GB2312"/>
              </w:rPr>
              <w:t>商务要求偏离表.docx 磋商报价表.docx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磋商报价未超过采购预算。</w:t>
            </w:r>
          </w:p>
        </w:tc>
        <w:tc>
          <w:tcPr>
            <w:tcW w:type="dxa" w:w="1661"/>
          </w:tcPr>
          <w:p>
            <w:pPr>
              <w:pStyle w:val="null3"/>
            </w:pPr>
            <w:r>
              <w:rPr>
                <w:rFonts w:ascii="仿宋_GB2312" w:hAnsi="仿宋_GB2312" w:cs="仿宋_GB2312" w:eastAsia="仿宋_GB2312"/>
              </w:rPr>
              <w:t>分项报价表.docx 标的清单 报价表 磋商报价表.docx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网站问答服务建设方案</w:t>
            </w:r>
          </w:p>
        </w:tc>
        <w:tc>
          <w:tcPr>
            <w:tcW w:type="dxa" w:w="2492"/>
          </w:tcPr>
          <w:p>
            <w:pPr>
              <w:pStyle w:val="null3"/>
            </w:pPr>
            <w:r>
              <w:rPr>
                <w:rFonts w:ascii="仿宋_GB2312" w:hAnsi="仿宋_GB2312" w:cs="仿宋_GB2312" w:eastAsia="仿宋_GB2312"/>
              </w:rPr>
              <w:t>根据针对本项目的网站问答服务建设方案（包括但不限于①构建政策问答知识库；②开发智能问答模块）的科学性、合理性、可行性进行打分。 1.提供的方案内容完全满足采购需求，思路清晰，科学、合理、可行每项计 4 分； 2.提供的方案内容满足采购需求，思路较清晰、合理，每项计3分； 3.提供的方案内容基本满足需求，每项计 2 分； 4.提供的方案内容不详尽或不适用于本项目，每项计 1 分； 5.未提供不计分。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服务承诺书.docx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网站运维提升服务方案</w:t>
            </w:r>
          </w:p>
        </w:tc>
        <w:tc>
          <w:tcPr>
            <w:tcW w:type="dxa" w:w="2492"/>
          </w:tcPr>
          <w:p>
            <w:pPr>
              <w:pStyle w:val="null3"/>
            </w:pPr>
            <w:r>
              <w:rPr>
                <w:rFonts w:ascii="仿宋_GB2312" w:hAnsi="仿宋_GB2312" w:cs="仿宋_GB2312" w:eastAsia="仿宋_GB2312"/>
              </w:rPr>
              <w:t>根据针对本项目的网站运维提升服务方案（包括但不限于①网站技术维护；②网站页面优化③专题策划与制作④政策解读服务）的科学性、合理性、可行性进行打分。 1.提供的方案内容完全满足采购需求，思路清晰，科学、合理、可行每项计 4 分； 2.提供的方案内容满足采购需求，思路较清晰、合理，每项计3分； 3.提供的方案内容基本满足需求，每项计 2 分； 4.提供的方案内容不详尽或不适用于本项目，每项计 1 分； 5.未提供不计分。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服务承诺书.docx</w:t>
            </w:r>
          </w:p>
        </w:tc>
      </w:tr>
      <w:tr>
        <w:tc>
          <w:tcPr>
            <w:tcW w:type="dxa" w:w="831"/>
            <w:vMerge/>
          </w:tcPr>
          <w:p/>
        </w:tc>
        <w:tc>
          <w:tcPr>
            <w:tcW w:type="dxa" w:w="1661"/>
          </w:tcPr>
          <w:p>
            <w:pPr>
              <w:pStyle w:val="null3"/>
            </w:pPr>
            <w:r>
              <w:rPr>
                <w:rFonts w:ascii="仿宋_GB2312" w:hAnsi="仿宋_GB2312" w:cs="仿宋_GB2312" w:eastAsia="仿宋_GB2312"/>
              </w:rPr>
              <w:t>网站日常普查监测服务方案</w:t>
            </w:r>
          </w:p>
        </w:tc>
        <w:tc>
          <w:tcPr>
            <w:tcW w:type="dxa" w:w="2492"/>
          </w:tcPr>
          <w:p>
            <w:pPr>
              <w:pStyle w:val="null3"/>
            </w:pPr>
            <w:r>
              <w:rPr>
                <w:rFonts w:ascii="仿宋_GB2312" w:hAnsi="仿宋_GB2312" w:cs="仿宋_GB2312" w:eastAsia="仿宋_GB2312"/>
              </w:rPr>
              <w:t>根据针对本项目的网站日常普查监测服务方案（包括但不限于①系统实时监测②人工全面检测③错敏信息监测）的科学性、合理性、可行性进行打分。 1.提供的方案内容完全满足采购需求，思路清晰，科学、合理、可行每项计 4 分； 2.提供的方案内容满足采购需求，思路较清晰、合理，每项计3分； 3.提供的方案内容基本满足需求，每项计 2 分； 4.提供的方案内容不详尽或不适用于本项目，每项计 1 分； 5.未提供不计分。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服务承诺书.docx</w:t>
            </w:r>
          </w:p>
        </w:tc>
      </w:tr>
      <w:tr>
        <w:tc>
          <w:tcPr>
            <w:tcW w:type="dxa" w:w="831"/>
            <w:vMerge/>
          </w:tcPr>
          <w:p/>
        </w:tc>
        <w:tc>
          <w:tcPr>
            <w:tcW w:type="dxa" w:w="1661"/>
          </w:tcPr>
          <w:p>
            <w:pPr>
              <w:pStyle w:val="null3"/>
            </w:pPr>
            <w:r>
              <w:rPr>
                <w:rFonts w:ascii="仿宋_GB2312" w:hAnsi="仿宋_GB2312" w:cs="仿宋_GB2312" w:eastAsia="仿宋_GB2312"/>
              </w:rPr>
              <w:t>政务新媒体监测服务方案</w:t>
            </w:r>
          </w:p>
        </w:tc>
        <w:tc>
          <w:tcPr>
            <w:tcW w:type="dxa" w:w="2492"/>
          </w:tcPr>
          <w:p>
            <w:pPr>
              <w:pStyle w:val="null3"/>
            </w:pPr>
            <w:r>
              <w:rPr>
                <w:rFonts w:ascii="仿宋_GB2312" w:hAnsi="仿宋_GB2312" w:cs="仿宋_GB2312" w:eastAsia="仿宋_GB2312"/>
              </w:rPr>
              <w:t>根据针对本项目的政务新媒体监测服务方案（包括但不限于①提供政务新媒体监测系统②按季度输出监测分析报告）的科学性、合理性、可行性进行打分。 1.提供的方案内容完全满足采购需求，思路清晰，科学、合理、可行每项计 4 分； 2.提供的方案内容满足采购需求，思路较清晰、合理，每项计3分； 3.提供的方案内容基本满足需求，每项计 2 分； 4.提供的方案内容不详尽或不适用于本项目，每项计 1 分； 5.未提供不计分。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服务承诺书.docx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团队人员</w:t>
            </w:r>
          </w:p>
        </w:tc>
        <w:tc>
          <w:tcPr>
            <w:tcW w:type="dxa" w:w="2492"/>
          </w:tcPr>
          <w:p>
            <w:pPr>
              <w:pStyle w:val="null3"/>
            </w:pPr>
            <w:r>
              <w:rPr>
                <w:rFonts w:ascii="仿宋_GB2312" w:hAnsi="仿宋_GB2312" w:cs="仿宋_GB2312" w:eastAsia="仿宋_GB2312"/>
              </w:rPr>
              <w:t>投标人有配备合理的服务团队，团队人员充足、分工明确（提供人员在本单位开标前连续6个月的社保缴纳证明复印件） 1.人员经验丰富、配备合理充足，证明材料齐全得5分； 2.人员有一定经验、人员配备无严重缺漏，但有证明材料得3分； 3.人员缺乏经验、配备情况无法充分完成服务工作，且证明材料不足得1分； 4.未提供或人员配备完全无法胜任本项目工作的得0分。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拟投入本项目的人员.docx</w:t>
            </w:r>
          </w:p>
        </w:tc>
      </w:tr>
      <w:tr>
        <w:tc>
          <w:tcPr>
            <w:tcW w:type="dxa" w:w="831"/>
            <w:vMerge/>
          </w:tcPr>
          <w:p/>
        </w:tc>
        <w:tc>
          <w:tcPr>
            <w:tcW w:type="dxa" w:w="1661"/>
          </w:tcPr>
          <w:p>
            <w:pPr>
              <w:pStyle w:val="null3"/>
            </w:pPr>
            <w:r>
              <w:rPr>
                <w:rFonts w:ascii="仿宋_GB2312" w:hAnsi="仿宋_GB2312" w:cs="仿宋_GB2312" w:eastAsia="仿宋_GB2312"/>
              </w:rPr>
              <w:t>驻场运维服务方案</w:t>
            </w:r>
          </w:p>
        </w:tc>
        <w:tc>
          <w:tcPr>
            <w:tcW w:type="dxa" w:w="2492"/>
          </w:tcPr>
          <w:p>
            <w:pPr>
              <w:pStyle w:val="null3"/>
            </w:pPr>
            <w:r>
              <w:rPr>
                <w:rFonts w:ascii="仿宋_GB2312" w:hAnsi="仿宋_GB2312" w:cs="仿宋_GB2312" w:eastAsia="仿宋_GB2312"/>
              </w:rPr>
              <w:t>投标人针对本项目提供详细具体可行的驻场运维服务方案。 1.提供的驻场运维服务方案完全满足采购需求，思路清晰，科学、合理、可行每项计 5 分； 2.提供的驻场运维服务方案基本满足需求，每项计 3 分； 3.提供的驻场运维服务方案内容不详尽或不适用于本项目，每项计 1 分； 4.未提供不计分。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服务承诺书.docx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投标人针对本项目提供详细具体可行的运维服务承诺。 1.提供的服务承诺完全满足采购需求，思路清晰，科学、合理、可行每项计 5 分； 2.提供的服务承诺基本满足需求，每项计 3 分； 3.提供的服务承诺内容不详尽或不适用于本项目，每项计 1 分； 4.未提供不计分。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服务承诺书.docx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投标人针对本项目提供详细具体可行的质量保证承诺。 1.提供的质量保证承诺完全满足采购需求，思路清晰，科学、合理、可行每项计 5 分； 2.提供的质量保证承诺完全满足采购需求，思路较清晰、可行每项计 3 分 3.提供的质量保证承诺内容不详尽或不适用于本项目，每项计 1 分； 4.未提供不计分。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服务承诺书.docx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供应商针对本项目可能出现的紧急情况的分析及处理方案。 1.提供的应急方案完全满足采购需求，思路清晰，科学、合理、可行每项计 4 分； 2.提供的应急方案基本满足需求，每项计 2 分； 3.提供的应急方案内容不详尽或不适用于本项目，每项计 1 分； 4.未提供不计分。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服务承诺书.docx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企业实力1</w:t>
            </w:r>
          </w:p>
        </w:tc>
        <w:tc>
          <w:tcPr>
            <w:tcW w:type="dxa" w:w="2492"/>
          </w:tcPr>
          <w:p>
            <w:pPr>
              <w:pStyle w:val="null3"/>
            </w:pPr>
            <w:r>
              <w:rPr>
                <w:rFonts w:ascii="仿宋_GB2312" w:hAnsi="仿宋_GB2312" w:cs="仿宋_GB2312" w:eastAsia="仿宋_GB2312"/>
              </w:rPr>
              <w:t>投标人具有ITSS信息技术服务标准符合性证书（业务领域：运行维护）、软件产品证书（集约化门户网站群管理系统）、DCMM数据管理成熟度认证证书，每提供1个得2分，共计6分。（提供原件扫描件）</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服务承诺书.docx</w:t>
            </w:r>
          </w:p>
        </w:tc>
      </w:tr>
      <w:tr>
        <w:tc>
          <w:tcPr>
            <w:tcW w:type="dxa" w:w="831"/>
            <w:vMerge/>
          </w:tcPr>
          <w:p/>
        </w:tc>
        <w:tc>
          <w:tcPr>
            <w:tcW w:type="dxa" w:w="1661"/>
          </w:tcPr>
          <w:p>
            <w:pPr>
              <w:pStyle w:val="null3"/>
            </w:pPr>
            <w:r>
              <w:rPr>
                <w:rFonts w:ascii="仿宋_GB2312" w:hAnsi="仿宋_GB2312" w:cs="仿宋_GB2312" w:eastAsia="仿宋_GB2312"/>
              </w:rPr>
              <w:t>企业实力2</w:t>
            </w:r>
          </w:p>
        </w:tc>
        <w:tc>
          <w:tcPr>
            <w:tcW w:type="dxa" w:w="2492"/>
          </w:tcPr>
          <w:p>
            <w:pPr>
              <w:pStyle w:val="null3"/>
            </w:pPr>
            <w:r>
              <w:rPr>
                <w:rFonts w:ascii="仿宋_GB2312" w:hAnsi="仿宋_GB2312" w:cs="仿宋_GB2312" w:eastAsia="仿宋_GB2312"/>
              </w:rPr>
              <w:t>投标人具有集约化门户网站群管理、内容管理、信息发布、信息公开、运维监管、用户行为分析等相关软件产品著作权证书的，每提供1个得1分，共计6分。（提供原件扫描件）。</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服务承诺书.docx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供应商提供2022年1月1日至今类似网站运维或监测项目业绩（以加盖供应商公章的合同复印件为准，时间以合同签订时间为准），每提供一份有效业绩得1分，最高得10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1.满足磋商文件实质性要求且最后报价最低的供应商磋商报价为投标基准价，其价格分为满分10分。 2.报价得分=（投标基准价/磋商报价）×10。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详见附件：磋商报价表.docx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详见附件：商务要求偏离表.docx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详见附件：本项目不接受联合体投标.docx</w:t>
      </w:r>
    </w:p>
    <w:p>
      <w:pPr>
        <w:pStyle w:val="null3"/>
        <w:ind w:firstLine="960"/>
      </w:pPr>
      <w:r>
        <w:rPr>
          <w:rFonts w:ascii="仿宋_GB2312" w:hAnsi="仿宋_GB2312" w:cs="仿宋_GB2312" w:eastAsia="仿宋_GB2312"/>
        </w:rPr>
        <w:t>详见附件：服务承诺书.docx</w:t>
      </w:r>
    </w:p>
    <w:p>
      <w:pPr>
        <w:pStyle w:val="null3"/>
        <w:ind w:firstLine="960"/>
      </w:pPr>
      <w:r>
        <w:rPr>
          <w:rFonts w:ascii="仿宋_GB2312" w:hAnsi="仿宋_GB2312" w:cs="仿宋_GB2312" w:eastAsia="仿宋_GB2312"/>
        </w:rPr>
        <w:t>详见附件：拟投入本项目的人员.docx</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详见附件：供应商拒绝政府采购领域商业贿赂承诺书.docx</w:t>
      </w:r>
    </w:p>
    <w:p>
      <w:pPr>
        <w:pStyle w:val="null3"/>
        <w:ind w:firstLine="960"/>
      </w:pPr>
      <w:r>
        <w:rPr>
          <w:rFonts w:ascii="仿宋_GB2312" w:hAnsi="仿宋_GB2312" w:cs="仿宋_GB2312" w:eastAsia="仿宋_GB2312"/>
        </w:rPr>
        <w:t>详见附件：项目业绩一览表.docx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