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版本号：HZ-FWZB-2025-00420250521001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校园安全设施服务维保项目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HZ-FWZB-2025-004</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陕西恒信项目管理有限公司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陕西恒信项目管理有限公司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校园安全设施服务维保项目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HZ-FWZB-2025-004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校园安全设施服务维保项目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为现有出口防火墙USG9520采购入侵防御、反病毒、URL远程查询、云沙箱检测等安全功能的特征库升级服务以及防火墙的软硬件升级维保服务。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采购包1（校园安全设施服务维保项目）：属于专门面向中小企业采购。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提供复印件并进行电子签章。</w:t>
      </w:r>
    </w:p>
    <w:p>
      <w:pPr>
        <w:pStyle w:val="null3"/>
      </w:pPr>
      <w:r>
        <w:rPr>
          <w:rFonts w:ascii="仿宋_GB2312" w:hAnsi="仿宋_GB2312" w:cs="仿宋_GB2312" w:eastAsia="仿宋_GB2312"/>
        </w:rPr>
        <w:t>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p>
      <w:pPr>
        <w:pStyle w:val="null3"/>
      </w:pPr>
      <w:r>
        <w:rPr>
          <w:rFonts w:ascii="仿宋_GB2312" w:hAnsi="仿宋_GB2312" w:cs="仿宋_GB2312" w:eastAsia="仿宋_GB2312"/>
        </w:rPr>
        <w:t>3、税收缴纳证明：提供2024年5月1日至今已缴纳的至少一个月的纳税证明或完税证明，依法免税的单位应提供相关证明材料，提供复印件并进行电子签章。</w:t>
      </w:r>
    </w:p>
    <w:p>
      <w:pPr>
        <w:pStyle w:val="null3"/>
      </w:pPr>
      <w:r>
        <w:rPr>
          <w:rFonts w:ascii="仿宋_GB2312" w:hAnsi="仿宋_GB2312" w:cs="仿宋_GB2312" w:eastAsia="仿宋_GB2312"/>
        </w:rPr>
        <w:t>4、社会保障资金缴纳证明：提供2024年10月1日至今已缴纳的至少一个月的社会保障资金缴存单据或社保机构开具的社会保险参保缴费情况证明，依法不需要缴纳社会保障资金的单位应提供相关证明材料，提供复印件并进行电子签章。</w:t>
      </w:r>
    </w:p>
    <w:p>
      <w:pPr>
        <w:pStyle w:val="null3"/>
      </w:pPr>
      <w:r>
        <w:rPr>
          <w:rFonts w:ascii="仿宋_GB2312" w:hAnsi="仿宋_GB2312" w:cs="仿宋_GB2312" w:eastAsia="仿宋_GB2312"/>
        </w:rPr>
        <w:t>5、书面声明：（1）提供参加政府采购活动前三年内在经营活动中没有重大违法记录的书面声明；（2）提供具有履行本合同所必需的设备和专业技术能力的说明及承诺，需进行电子签章。</w:t>
      </w:r>
    </w:p>
    <w:p>
      <w:pPr>
        <w:pStyle w:val="null3"/>
      </w:pPr>
      <w:r>
        <w:rPr>
          <w:rFonts w:ascii="仿宋_GB2312" w:hAnsi="仿宋_GB2312" w:cs="仿宋_GB2312" w:eastAsia="仿宋_GB2312"/>
        </w:rPr>
        <w:t>6、特定资格要求：（1）法定代表人授权委托书（附被授权人身份证复印件）；法定代表人或负责人直接参加只须提供法定代表人资格证明书（附法定代表人或负责人身份证复印件），本项需进行电子签章。 （2）采购人、采购代理机构将于本项目截止当日在“信用中国”网站、“中国政府采购网”网站等渠道对供应商进行信用记录查询，查询结果留存。凡被列入失信被执行人（页面跳转至“中国执行信息公开网”http://zxgk.court.gov.cn/shixin/）、重大税收违法失信主体、政府采购严重违法失信行为记录名单的，视为存在不良信用记录，参与本项目的将被拒绝。 （3）采购人、采购代理机构将于本项目截止当日在“国家企业信用信息公示系统”网站对供应商进行信息进行查询，查询结果留存。单位负责人为同一人或者存在直接控股、管理关系的不同供应商，参与本项目的将被拒绝。 （4）不接受联合体磋商（需提供声明并进行电子签章）。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029-88092164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陕西省西安市雁塔区陕西省西安市高新区高新六路25号万象汇1幢1单元5层10501、10502室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刘诗麒、刘萌、杨利乔、杨柳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029－88897788；17391636545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陕西恒信项目管理有限公司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1.成果交付要求 每次巡检要求工程师携带工作证到用户现场巡检，并且需要用户现场签字确认，提供详细的巡检报告，并把用户确认报告整理成文档。 2.质量验收标准或规范 提供官网可查的维保截图，制定科学合理的维护管理办法和措施，对上述设备进行监控、巡检、故障排除、故障备件更换和日常维护、优化，确保所有系统安全稳定运行。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联系人：刘萌</w:t>
      </w:r>
    </w:p>
    <w:p>
      <w:pPr>
        <w:pStyle w:val="null3"/>
      </w:pPr>
      <w:r>
        <w:rPr>
          <w:rFonts w:ascii="仿宋_GB2312" w:hAnsi="仿宋_GB2312" w:cs="仿宋_GB2312" w:eastAsia="仿宋_GB2312"/>
        </w:rPr>
        <w:t>联系电话：17391636545</w:t>
      </w:r>
    </w:p>
    <w:p>
      <w:pPr>
        <w:pStyle w:val="null3"/>
      </w:pPr>
      <w:r>
        <w:rPr>
          <w:rFonts w:ascii="仿宋_GB2312" w:hAnsi="仿宋_GB2312" w:cs="仿宋_GB2312" w:eastAsia="仿宋_GB2312"/>
        </w:rPr>
        <w:t>地址：陕西省西安市雁塔区陕西省西安市高新区高新六路25号万象汇1幢1单元5层10501、10502室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为现有出口防火墙USG9520采购入侵防御、反病毒、URL远程查询、云沙箱检测等安全功能的特征库升级服务以及防火墙的软硬件升级维保服务。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校园安全设施服务维保项目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标的名称：校园安全设施服务维保项目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 xml:space="preserve">    一、服务内容</w:t>
            </w:r>
          </w:p>
          <w:p>
            <w:pPr>
              <w:pStyle w:val="null3"/>
              <w:ind w:firstLine="560"/>
              <w:jc w:val="both"/>
            </w:pPr>
            <w:r>
              <w:rPr>
                <w:rFonts w:ascii="仿宋_GB2312" w:hAnsi="仿宋_GB2312" w:cs="仿宋_GB2312" w:eastAsia="仿宋_GB2312"/>
                <w:sz w:val="28"/>
              </w:rPr>
              <w:t>服务内容包括：现有出口防火墙</w:t>
            </w:r>
            <w:r>
              <w:rPr>
                <w:rFonts w:ascii="仿宋_GB2312" w:hAnsi="仿宋_GB2312" w:cs="仿宋_GB2312" w:eastAsia="仿宋_GB2312"/>
                <w:sz w:val="28"/>
              </w:rPr>
              <w:t>USG9520的入侵防御、反病毒、URL远程查询、云沙箱检测等安全功能的特征库1年升级服务以及软硬件1年升级维保运维调试服务</w:t>
            </w:r>
            <w:r>
              <w:rPr>
                <w:rFonts w:ascii="仿宋_GB2312" w:hAnsi="仿宋_GB2312" w:cs="仿宋_GB2312" w:eastAsia="仿宋_GB2312"/>
                <w:sz w:val="28"/>
              </w:rPr>
              <w:t>，</w:t>
            </w:r>
            <w:r>
              <w:rPr>
                <w:rFonts w:ascii="仿宋_GB2312" w:hAnsi="仿宋_GB2312" w:cs="仿宋_GB2312" w:eastAsia="仿宋_GB2312"/>
                <w:sz w:val="28"/>
              </w:rPr>
              <w:t>维保设备清单</w:t>
            </w:r>
            <w:r>
              <w:rPr>
                <w:rFonts w:ascii="仿宋_GB2312" w:hAnsi="仿宋_GB2312" w:cs="仿宋_GB2312" w:eastAsia="仿宋_GB2312"/>
                <w:sz w:val="28"/>
              </w:rPr>
              <w:t>如下</w:t>
            </w:r>
            <w:r>
              <w:rPr>
                <w:rFonts w:ascii="仿宋_GB2312" w:hAnsi="仿宋_GB2312" w:cs="仿宋_GB2312" w:eastAsia="仿宋_GB2312"/>
                <w:sz w:val="28"/>
              </w:rPr>
              <w:t>：</w:t>
            </w:r>
          </w:p>
          <w:tbl>
            <w:tblPr>
              <w:tblInd w:type="dxa" w:w="345"/>
              <w:tblBorders>
                <w:top w:val="none" w:color="000000" w:sz="4"/>
                <w:left w:val="none" w:color="000000" w:sz="4"/>
                <w:bottom w:val="none" w:color="000000" w:sz="4"/>
                <w:right w:val="none" w:color="000000" w:sz="4"/>
                <w:insideH w:val="none"/>
                <w:insideV w:val="none"/>
              </w:tblBorders>
            </w:tblPr>
            <w:tblGrid>
              <w:gridCol w:w="177"/>
              <w:gridCol w:w="824"/>
              <w:gridCol w:w="1517"/>
            </w:tblGrid>
            <w:tr>
              <w:tc>
                <w:tcPr>
                  <w:tcW w:type="dxa" w:w="17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8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产品名称</w:t>
                  </w:r>
                </w:p>
              </w:tc>
              <w:tc>
                <w:tcPr>
                  <w:tcW w:type="dxa" w:w="151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服务内容描述</w:t>
                  </w:r>
                </w:p>
              </w:tc>
            </w:tr>
            <w:tr>
              <w:tc>
                <w:tcPr>
                  <w:tcW w:type="dxa" w:w="1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8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防火墙</w:t>
                  </w:r>
                  <w:r>
                    <w:rPr>
                      <w:rFonts w:ascii="仿宋_GB2312" w:hAnsi="仿宋_GB2312" w:cs="仿宋_GB2312" w:eastAsia="仿宋_GB2312"/>
                      <w:sz w:val="24"/>
                    </w:rPr>
                    <w:t>USG9520安全功能</w:t>
                  </w:r>
                </w:p>
                <w:p>
                  <w:pPr>
                    <w:pStyle w:val="null3"/>
                    <w:jc w:val="center"/>
                  </w:pPr>
                  <w:r>
                    <w:rPr>
                      <w:rFonts w:ascii="仿宋_GB2312" w:hAnsi="仿宋_GB2312" w:cs="仿宋_GB2312" w:eastAsia="仿宋_GB2312"/>
                      <w:sz w:val="24"/>
                    </w:rPr>
                    <w:t>升级服务</w:t>
                  </w:r>
                </w:p>
              </w:tc>
              <w:tc>
                <w:tcPr>
                  <w:tcW w:type="dxa" w:w="15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入侵防御、反病毒、</w:t>
                  </w:r>
                  <w:r>
                    <w:rPr>
                      <w:rFonts w:ascii="仿宋_GB2312" w:hAnsi="仿宋_GB2312" w:cs="仿宋_GB2312" w:eastAsia="仿宋_GB2312"/>
                      <w:sz w:val="24"/>
                    </w:rPr>
                    <w:t>URL远程查询、云沙箱功能</w:t>
                  </w:r>
                </w:p>
              </w:tc>
            </w:tr>
            <w:tr>
              <w:tc>
                <w:tcPr>
                  <w:tcW w:type="dxa" w:w="1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8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防火墙</w:t>
                  </w:r>
                  <w:r>
                    <w:rPr>
                      <w:rFonts w:ascii="仿宋_GB2312" w:hAnsi="仿宋_GB2312" w:cs="仿宋_GB2312" w:eastAsia="仿宋_GB2312"/>
                      <w:sz w:val="24"/>
                    </w:rPr>
                    <w:t>USG9520软硬件</w:t>
                  </w:r>
                </w:p>
                <w:p>
                  <w:pPr>
                    <w:pStyle w:val="null3"/>
                    <w:jc w:val="center"/>
                  </w:pPr>
                  <w:r>
                    <w:rPr>
                      <w:rFonts w:ascii="仿宋_GB2312" w:hAnsi="仿宋_GB2312" w:cs="仿宋_GB2312" w:eastAsia="仿宋_GB2312"/>
                      <w:sz w:val="24"/>
                    </w:rPr>
                    <w:t>升级维保服务</w:t>
                  </w:r>
                </w:p>
              </w:tc>
              <w:tc>
                <w:tcPr>
                  <w:tcW w:type="dxa" w:w="1517"/>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Hi-Care高级服务金牌+7*24*4H服务</w:t>
                  </w:r>
                </w:p>
              </w:tc>
            </w:tr>
            <w:tr>
              <w:tc>
                <w:tcPr>
                  <w:tcW w:type="dxa" w:w="1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8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防火墙</w:t>
                  </w:r>
                  <w:r>
                    <w:rPr>
                      <w:rFonts w:ascii="仿宋_GB2312" w:hAnsi="仿宋_GB2312" w:cs="仿宋_GB2312" w:eastAsia="仿宋_GB2312"/>
                      <w:sz w:val="24"/>
                    </w:rPr>
                    <w:t>USG9520</w:t>
                  </w:r>
                </w:p>
                <w:p>
                  <w:pPr>
                    <w:pStyle w:val="null3"/>
                    <w:jc w:val="center"/>
                  </w:pPr>
                  <w:r>
                    <w:rPr>
                      <w:rFonts w:ascii="仿宋_GB2312" w:hAnsi="仿宋_GB2312" w:cs="仿宋_GB2312" w:eastAsia="仿宋_GB2312"/>
                      <w:sz w:val="24"/>
                    </w:rPr>
                    <w:t>运维及调试</w:t>
                  </w:r>
                </w:p>
              </w:tc>
              <w:tc>
                <w:tcPr>
                  <w:tcW w:type="dxa" w:w="151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故障处理、运行优化等综合日常服务</w:t>
                  </w:r>
                </w:p>
              </w:tc>
            </w:tr>
          </w:tbl>
          <w:p>
            <w:pPr>
              <w:pStyle w:val="null3"/>
              <w:numPr>
                <w:ilvl w:val="0"/>
                <w:numId w:val="1"/>
              </w:numPr>
              <w:jc w:val="both"/>
            </w:pPr>
            <w:r>
              <w:rPr>
                <w:rFonts w:ascii="仿宋_GB2312" w:hAnsi="仿宋_GB2312" w:cs="仿宋_GB2312" w:eastAsia="仿宋_GB2312"/>
                <w:sz w:val="28"/>
                <w:b/>
              </w:rPr>
              <w:t>二、技术要求</w:t>
            </w:r>
          </w:p>
          <w:p>
            <w:pPr>
              <w:pStyle w:val="null3"/>
              <w:ind w:firstLine="560"/>
              <w:jc w:val="both"/>
            </w:pPr>
            <w:r>
              <w:rPr>
                <w:rFonts w:ascii="仿宋_GB2312" w:hAnsi="仿宋_GB2312" w:cs="仿宋_GB2312" w:eastAsia="仿宋_GB2312"/>
                <w:sz w:val="28"/>
              </w:rPr>
              <w:t>确保</w:t>
            </w:r>
            <w:r>
              <w:rPr>
                <w:rFonts w:ascii="仿宋_GB2312" w:hAnsi="仿宋_GB2312" w:cs="仿宋_GB2312" w:eastAsia="仿宋_GB2312"/>
                <w:sz w:val="28"/>
              </w:rPr>
              <w:t>防火墙业务性能</w:t>
            </w:r>
            <w:r>
              <w:rPr>
                <w:rFonts w:ascii="仿宋_GB2312" w:hAnsi="仿宋_GB2312" w:cs="仿宋_GB2312" w:eastAsia="仿宋_GB2312"/>
                <w:sz w:val="28"/>
              </w:rPr>
              <w:t>与</w:t>
            </w:r>
            <w:r>
              <w:rPr>
                <w:rFonts w:ascii="仿宋_GB2312" w:hAnsi="仿宋_GB2312" w:cs="仿宋_GB2312" w:eastAsia="仿宋_GB2312"/>
                <w:sz w:val="28"/>
              </w:rPr>
              <w:t>可用性</w:t>
            </w:r>
            <w:r>
              <w:rPr>
                <w:rFonts w:ascii="仿宋_GB2312" w:hAnsi="仿宋_GB2312" w:cs="仿宋_GB2312" w:eastAsia="仿宋_GB2312"/>
                <w:sz w:val="28"/>
              </w:rPr>
              <w:t>符合</w:t>
            </w:r>
            <w:r>
              <w:rPr>
                <w:rFonts w:ascii="仿宋_GB2312" w:hAnsi="仿宋_GB2312" w:cs="仿宋_GB2312" w:eastAsia="仿宋_GB2312"/>
                <w:sz w:val="28"/>
              </w:rPr>
              <w:t>我校使用要求</w:t>
            </w:r>
            <w:r>
              <w:rPr>
                <w:rFonts w:ascii="仿宋_GB2312" w:hAnsi="仿宋_GB2312" w:cs="仿宋_GB2312" w:eastAsia="仿宋_GB2312"/>
                <w:sz w:val="28"/>
              </w:rPr>
              <w:t>,</w:t>
            </w:r>
            <w:r>
              <w:rPr>
                <w:rFonts w:ascii="仿宋_GB2312" w:hAnsi="仿宋_GB2312" w:cs="仿宋_GB2312" w:eastAsia="仿宋_GB2312"/>
                <w:sz w:val="28"/>
              </w:rPr>
              <w:t>并满足包括且</w:t>
            </w:r>
            <w:r>
              <w:rPr>
                <w:rFonts w:ascii="仿宋_GB2312" w:hAnsi="仿宋_GB2312" w:cs="仿宋_GB2312" w:eastAsia="仿宋_GB2312"/>
                <w:sz w:val="28"/>
              </w:rPr>
              <w:t>不限于以下技术服务要求：</w:t>
            </w:r>
          </w:p>
          <w:p>
            <w:pPr>
              <w:pStyle w:val="null3"/>
              <w:ind w:firstLine="560"/>
              <w:jc w:val="both"/>
            </w:pPr>
            <w:r>
              <w:rPr>
                <w:rFonts w:ascii="仿宋_GB2312" w:hAnsi="仿宋_GB2312" w:cs="仿宋_GB2312" w:eastAsia="仿宋_GB2312"/>
                <w:sz w:val="28"/>
              </w:rPr>
              <w:t>1.防火墙升级服务</w:t>
            </w:r>
          </w:p>
          <w:p>
            <w:pPr>
              <w:pStyle w:val="null3"/>
              <w:ind w:firstLine="560"/>
              <w:jc w:val="both"/>
            </w:pPr>
            <w:r>
              <w:rPr>
                <w:rFonts w:ascii="仿宋_GB2312" w:hAnsi="仿宋_GB2312" w:cs="仿宋_GB2312" w:eastAsia="仿宋_GB2312"/>
                <w:sz w:val="28"/>
              </w:rPr>
              <w:t>提供设备软件及硬件的维护</w:t>
            </w:r>
            <w:r>
              <w:rPr>
                <w:rFonts w:ascii="仿宋_GB2312" w:hAnsi="仿宋_GB2312" w:cs="仿宋_GB2312" w:eastAsia="仿宋_GB2312"/>
                <w:sz w:val="28"/>
              </w:rPr>
              <w:t>(版本升级、规则升级、补丁升级、功能升级、固件升级)，以确保设备始终处于最优性能。防止潜在问题和风险因素威胁系统和网络安全。供应商服务工程师应在重装和软硬件版本升级的同时，针对性地对用户方技术人员进行现场指导培训，告知升级后各种对系统可能造成的隐患以及如何排除隐患进行说明和预防，以提高用户方信息系统软硬件设备的运行率。</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防火墙维保服务</w:t>
            </w:r>
          </w:p>
          <w:p>
            <w:pPr>
              <w:pStyle w:val="null3"/>
              <w:ind w:firstLine="560"/>
              <w:jc w:val="both"/>
            </w:pPr>
            <w:r>
              <w:rPr>
                <w:rFonts w:ascii="仿宋_GB2312" w:hAnsi="仿宋_GB2312" w:cs="仿宋_GB2312" w:eastAsia="仿宋_GB2312"/>
                <w:sz w:val="28"/>
              </w:rPr>
              <w:t>包括但不限于规范性日常维护、故障应急响应、设备问题解决等，做好运维台账，建立完备的运维过程文档资料，协助学校处理各类网络安全问题等。</w:t>
            </w:r>
          </w:p>
          <w:p>
            <w:pPr>
              <w:pStyle w:val="null3"/>
              <w:ind w:firstLine="560"/>
              <w:jc w:val="both"/>
            </w:pPr>
            <w:r>
              <w:rPr>
                <w:rFonts w:ascii="仿宋_GB2312" w:hAnsi="仿宋_GB2312" w:cs="仿宋_GB2312" w:eastAsia="仿宋_GB2312"/>
                <w:sz w:val="28"/>
              </w:rPr>
              <w:t>2.1规范性日常维护</w:t>
            </w:r>
          </w:p>
          <w:p>
            <w:pPr>
              <w:pStyle w:val="null3"/>
              <w:ind w:firstLine="560"/>
              <w:jc w:val="both"/>
            </w:pPr>
            <w:r>
              <w:rPr>
                <w:rFonts w:ascii="仿宋_GB2312" w:hAnsi="仿宋_GB2312" w:cs="仿宋_GB2312" w:eastAsia="仿宋_GB2312"/>
                <w:sz w:val="28"/>
              </w:rPr>
              <w:t>供应商应安排工程师对本招标范围中包含的设备做定期系统巡检和维护保养，包括设备维保、系统诊断、系统优化等，并针对潜在问题提出调整建议。供应商应在响应文件中制定相应的定期维保计划，并按照维保计划及时到用户方现场进行不间断的设备维护保养，直至保养结束。供应商在对用户方的设备软件进行定期的软硬件检修、维护保养后，每次须提供工作的检修、维护保养报告，同时为用户方的系统完善、升级、改造提供软硬件设备的新技术、新资讯，报告经双方技术人员签字确认以供用户方备案。原厂工程师巡检频率至少一季度一次。每次巡检要求工程师携带工作证到用户现场巡检，并且需要用户现场签字确认，提供详细的巡检报告，并把用户确认报告整理成文档，作为验收依据。</w:t>
            </w:r>
          </w:p>
          <w:p>
            <w:pPr>
              <w:pStyle w:val="null3"/>
              <w:ind w:firstLine="560"/>
              <w:jc w:val="both"/>
            </w:pPr>
            <w:r>
              <w:rPr>
                <w:rFonts w:ascii="仿宋_GB2312" w:hAnsi="仿宋_GB2312" w:cs="仿宋_GB2312" w:eastAsia="仿宋_GB2312"/>
                <w:sz w:val="28"/>
              </w:rPr>
              <w:t>2.2故障应急响应</w:t>
            </w:r>
          </w:p>
          <w:p>
            <w:pPr>
              <w:pStyle w:val="null3"/>
              <w:ind w:firstLine="560"/>
              <w:jc w:val="both"/>
            </w:pPr>
            <w:r>
              <w:rPr>
                <w:rFonts w:ascii="仿宋_GB2312" w:hAnsi="仿宋_GB2312" w:cs="仿宋_GB2312" w:eastAsia="仿宋_GB2312"/>
                <w:sz w:val="28"/>
              </w:rPr>
              <w:t>通过确定故障原因，提供解决方案，使设备恢复到正常的运行状态。该服务提供电话、远程和现场技术支持。在故障维护的同时，针对性地对故障的现象、分析、诊断、定位等向用户方技术人员进行现场指导培训，以提高用户方信息系统软硬件设备的运行率。</w:t>
            </w:r>
          </w:p>
          <w:p>
            <w:pPr>
              <w:pStyle w:val="null3"/>
              <w:ind w:firstLine="560"/>
              <w:jc w:val="both"/>
            </w:pPr>
            <w:r>
              <w:rPr>
                <w:rFonts w:ascii="仿宋_GB2312" w:hAnsi="仿宋_GB2312" w:cs="仿宋_GB2312" w:eastAsia="仿宋_GB2312"/>
                <w:sz w:val="28"/>
              </w:rPr>
              <w:t>2.2.1 7*24*4H在线技术支持服务</w:t>
            </w:r>
          </w:p>
          <w:p>
            <w:pPr>
              <w:pStyle w:val="null3"/>
              <w:ind w:firstLine="560"/>
              <w:jc w:val="both"/>
            </w:pPr>
            <w:r>
              <w:rPr>
                <w:rFonts w:ascii="仿宋_GB2312" w:hAnsi="仿宋_GB2312" w:cs="仿宋_GB2312" w:eastAsia="仿宋_GB2312"/>
                <w:sz w:val="28"/>
              </w:rPr>
              <w:t>提供</w:t>
            </w:r>
            <w:r>
              <w:rPr>
                <w:rFonts w:ascii="仿宋_GB2312" w:hAnsi="仿宋_GB2312" w:cs="仿宋_GB2312" w:eastAsia="仿宋_GB2312"/>
                <w:sz w:val="28"/>
              </w:rPr>
              <w:t>7×24小时在线技术支持服务，可以通过电话联系服务台处理所有服务请求。</w:t>
            </w:r>
          </w:p>
          <w:p>
            <w:pPr>
              <w:pStyle w:val="null3"/>
              <w:ind w:firstLine="560"/>
              <w:jc w:val="both"/>
            </w:pPr>
            <w:r>
              <w:rPr>
                <w:rFonts w:ascii="仿宋_GB2312" w:hAnsi="仿宋_GB2312" w:cs="仿宋_GB2312" w:eastAsia="仿宋_GB2312"/>
                <w:sz w:val="28"/>
              </w:rPr>
              <w:t>2.2.2远程支持服务</w:t>
            </w:r>
          </w:p>
          <w:p>
            <w:pPr>
              <w:pStyle w:val="null3"/>
              <w:ind w:firstLine="560"/>
              <w:jc w:val="both"/>
            </w:pPr>
            <w:r>
              <w:rPr>
                <w:rFonts w:ascii="仿宋_GB2312" w:hAnsi="仿宋_GB2312" w:cs="仿宋_GB2312" w:eastAsia="仿宋_GB2312"/>
                <w:sz w:val="28"/>
              </w:rPr>
              <w:t>当设备问题无法通过在线技术支持服务解决时，工程师将在获得许可的情况下远程登录系统，诊断问题，找出原因，制定解决方案，并安排技术人员进行处理。</w:t>
            </w:r>
          </w:p>
          <w:p>
            <w:pPr>
              <w:pStyle w:val="null3"/>
              <w:ind w:firstLine="560"/>
              <w:jc w:val="both"/>
            </w:pPr>
            <w:r>
              <w:rPr>
                <w:rFonts w:ascii="仿宋_GB2312" w:hAnsi="仿宋_GB2312" w:cs="仿宋_GB2312" w:eastAsia="仿宋_GB2312"/>
                <w:sz w:val="28"/>
              </w:rPr>
              <w:t>2.2.3 四小时到达现场支持服务</w:t>
            </w:r>
          </w:p>
          <w:p>
            <w:pPr>
              <w:pStyle w:val="null3"/>
              <w:ind w:firstLine="560"/>
              <w:jc w:val="both"/>
            </w:pPr>
            <w:r>
              <w:rPr>
                <w:rFonts w:ascii="仿宋_GB2312" w:hAnsi="仿宋_GB2312" w:cs="仿宋_GB2312" w:eastAsia="仿宋_GB2312"/>
                <w:sz w:val="28"/>
              </w:rPr>
              <w:t>对于无法通过电话支持和远程访问解决的设备问题，将</w:t>
            </w:r>
            <w:r>
              <w:rPr>
                <w:rFonts w:ascii="仿宋_GB2312" w:hAnsi="仿宋_GB2312" w:cs="仿宋_GB2312" w:eastAsia="仿宋_GB2312"/>
                <w:sz w:val="28"/>
              </w:rPr>
              <w:t>4小时内到达现场及时提供故障排除服务，4小时内安排有经验的技术工程师或技术专家团队协助进行数据分析，制定解决方案，现场消除故障。如发生严重影响业务的设备故障和其他紧急问题。在发生紧急故障时，立即提供电话支持和远程支持，并联系相应区域的技术工程师第一时间前往现场支持。紧急故障恢复的主要目的是使设备保持运行，或者在出现故障时尽快恢复运行，以防止遭受重大损失。</w:t>
            </w:r>
          </w:p>
          <w:p>
            <w:pPr>
              <w:pStyle w:val="null3"/>
              <w:ind w:firstLine="560"/>
              <w:jc w:val="both"/>
            </w:pPr>
            <w:r>
              <w:rPr>
                <w:rFonts w:ascii="仿宋_GB2312" w:hAnsi="仿宋_GB2312" w:cs="仿宋_GB2312" w:eastAsia="仿宋_GB2312"/>
                <w:sz w:val="28"/>
              </w:rPr>
              <w:t>保修内容包括：</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故障检修</w:t>
            </w:r>
            <w:r>
              <w:rPr>
                <w:rFonts w:ascii="仿宋_GB2312" w:hAnsi="仿宋_GB2312" w:cs="仿宋_GB2312" w:eastAsia="仿宋_GB2312"/>
                <w:sz w:val="28"/>
              </w:rPr>
              <w:t>：</w:t>
            </w:r>
            <w:r>
              <w:rPr>
                <w:rFonts w:ascii="仿宋_GB2312" w:hAnsi="仿宋_GB2312" w:cs="仿宋_GB2312" w:eastAsia="仿宋_GB2312"/>
                <w:sz w:val="28"/>
              </w:rPr>
              <w:t>故障现象描述</w:t>
            </w:r>
            <w:r>
              <w:rPr>
                <w:rFonts w:ascii="仿宋_GB2312" w:hAnsi="仿宋_GB2312" w:cs="仿宋_GB2312" w:eastAsia="仿宋_GB2312"/>
                <w:sz w:val="28"/>
              </w:rPr>
              <w:t>（详细记录设备异常表现及用户反馈信息）、</w:t>
            </w:r>
            <w:r>
              <w:rPr>
                <w:rFonts w:ascii="仿宋_GB2312" w:hAnsi="仿宋_GB2312" w:cs="仿宋_GB2312" w:eastAsia="仿宋_GB2312"/>
                <w:sz w:val="28"/>
              </w:rPr>
              <w:t>故障排查定位</w:t>
            </w:r>
            <w:r>
              <w:rPr>
                <w:rFonts w:ascii="仿宋_GB2312" w:hAnsi="仿宋_GB2312" w:cs="仿宋_GB2312" w:eastAsia="仿宋_GB2312"/>
                <w:sz w:val="28"/>
              </w:rPr>
              <w:t>（</w:t>
            </w:r>
            <w:r>
              <w:rPr>
                <w:rFonts w:ascii="仿宋_GB2312" w:hAnsi="仿宋_GB2312" w:cs="仿宋_GB2312" w:eastAsia="仿宋_GB2312"/>
                <w:sz w:val="28"/>
              </w:rPr>
              <w:t>做好</w:t>
            </w:r>
            <w:r>
              <w:rPr>
                <w:rFonts w:ascii="仿宋_GB2312" w:hAnsi="仿宋_GB2312" w:cs="仿宋_GB2312" w:eastAsia="仿宋_GB2312"/>
                <w:sz w:val="28"/>
              </w:rPr>
              <w:t>系统诊断</w:t>
            </w:r>
            <w:r>
              <w:rPr>
                <w:rFonts w:ascii="仿宋_GB2312" w:hAnsi="仿宋_GB2312" w:cs="仿宋_GB2312" w:eastAsia="仿宋_GB2312"/>
                <w:sz w:val="28"/>
              </w:rPr>
              <w:t>和核心部件检测分析</w:t>
            </w:r>
            <w:r>
              <w:rPr>
                <w:rFonts w:ascii="仿宋_GB2312" w:hAnsi="仿宋_GB2312" w:cs="仿宋_GB2312" w:eastAsia="仿宋_GB2312"/>
                <w:sz w:val="28"/>
              </w:rPr>
              <w:t>）、</w:t>
            </w:r>
            <w:r>
              <w:rPr>
                <w:rFonts w:ascii="仿宋_GB2312" w:hAnsi="仿宋_GB2312" w:cs="仿宋_GB2312" w:eastAsia="仿宋_GB2312"/>
                <w:sz w:val="28"/>
              </w:rPr>
              <w:t>故障处理过程</w:t>
            </w:r>
            <w:r>
              <w:rPr>
                <w:rFonts w:ascii="仿宋_GB2312" w:hAnsi="仿宋_GB2312" w:cs="仿宋_GB2312" w:eastAsia="仿宋_GB2312"/>
                <w:sz w:val="28"/>
              </w:rPr>
              <w:t>（</w:t>
            </w:r>
            <w:r>
              <w:rPr>
                <w:rFonts w:ascii="仿宋_GB2312" w:hAnsi="仿宋_GB2312" w:cs="仿宋_GB2312" w:eastAsia="仿宋_GB2312"/>
                <w:sz w:val="28"/>
              </w:rPr>
              <w:t>详细记录</w:t>
            </w:r>
            <w:r>
              <w:rPr>
                <w:rFonts w:ascii="仿宋_GB2312" w:hAnsi="仿宋_GB2312" w:cs="仿宋_GB2312" w:eastAsia="仿宋_GB2312"/>
                <w:sz w:val="28"/>
              </w:rPr>
              <w:t>修复</w:t>
            </w:r>
            <w:r>
              <w:rPr>
                <w:rFonts w:ascii="仿宋_GB2312" w:hAnsi="仿宋_GB2312" w:cs="仿宋_GB2312" w:eastAsia="仿宋_GB2312"/>
                <w:sz w:val="28"/>
              </w:rPr>
              <w:t>/更换操作</w:t>
            </w:r>
            <w:r>
              <w:rPr>
                <w:rFonts w:ascii="仿宋_GB2312" w:hAnsi="仿宋_GB2312" w:cs="仿宋_GB2312" w:eastAsia="仿宋_GB2312"/>
                <w:sz w:val="28"/>
              </w:rPr>
              <w:t>过程和提交功能验证测试报告</w:t>
            </w:r>
            <w:r>
              <w:rPr>
                <w:rFonts w:ascii="仿宋_GB2312" w:hAnsi="仿宋_GB2312" w:cs="仿宋_GB2312" w:eastAsia="仿宋_GB2312"/>
                <w:sz w:val="28"/>
              </w:rPr>
              <w:t>）、</w:t>
            </w:r>
            <w:r>
              <w:rPr>
                <w:rFonts w:ascii="仿宋_GB2312" w:hAnsi="仿宋_GB2312" w:cs="仿宋_GB2312" w:eastAsia="仿宋_GB2312"/>
                <w:sz w:val="28"/>
              </w:rPr>
              <w:t>故障原因分析</w:t>
            </w:r>
            <w:r>
              <w:rPr>
                <w:rFonts w:ascii="仿宋_GB2312" w:hAnsi="仿宋_GB2312" w:cs="仿宋_GB2312" w:eastAsia="仿宋_GB2312"/>
                <w:sz w:val="28"/>
              </w:rPr>
              <w:t>（</w:t>
            </w:r>
            <w:r>
              <w:rPr>
                <w:rFonts w:ascii="仿宋_GB2312" w:hAnsi="仿宋_GB2312" w:cs="仿宋_GB2312" w:eastAsia="仿宋_GB2312"/>
                <w:sz w:val="28"/>
              </w:rPr>
              <w:t>做好</w:t>
            </w:r>
            <w:r>
              <w:rPr>
                <w:rFonts w:ascii="仿宋_GB2312" w:hAnsi="仿宋_GB2312" w:cs="仿宋_GB2312" w:eastAsia="仿宋_GB2312"/>
                <w:sz w:val="28"/>
              </w:rPr>
              <w:t>根本原因技术分析</w:t>
            </w:r>
            <w:r>
              <w:rPr>
                <w:rFonts w:ascii="仿宋_GB2312" w:hAnsi="仿宋_GB2312" w:cs="仿宋_GB2312" w:eastAsia="仿宋_GB2312"/>
                <w:sz w:val="28"/>
              </w:rPr>
              <w:t>和预防措施建议</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巡检保养</w:t>
            </w:r>
            <w:r>
              <w:rPr>
                <w:rFonts w:ascii="仿宋_GB2312" w:hAnsi="仿宋_GB2312" w:cs="仿宋_GB2312" w:eastAsia="仿宋_GB2312"/>
                <w:sz w:val="28"/>
              </w:rPr>
              <w:t>：</w:t>
            </w:r>
            <w:r>
              <w:rPr>
                <w:rFonts w:ascii="仿宋_GB2312" w:hAnsi="仿宋_GB2312" w:cs="仿宋_GB2312" w:eastAsia="仿宋_GB2312"/>
                <w:sz w:val="28"/>
              </w:rPr>
              <w:t>巡检流程与内容</w:t>
            </w:r>
            <w:r>
              <w:rPr>
                <w:rFonts w:ascii="仿宋_GB2312" w:hAnsi="仿宋_GB2312" w:cs="仿宋_GB2312" w:eastAsia="仿宋_GB2312"/>
                <w:sz w:val="28"/>
              </w:rPr>
              <w:t>（</w:t>
            </w:r>
            <w:r>
              <w:rPr>
                <w:rFonts w:ascii="仿宋_GB2312" w:hAnsi="仿宋_GB2312" w:cs="仿宋_GB2312" w:eastAsia="仿宋_GB2312"/>
                <w:sz w:val="28"/>
              </w:rPr>
              <w:t>提供</w:t>
            </w:r>
            <w:r>
              <w:rPr>
                <w:rFonts w:ascii="仿宋_GB2312" w:hAnsi="仿宋_GB2312" w:cs="仿宋_GB2312" w:eastAsia="仿宋_GB2312"/>
                <w:sz w:val="28"/>
              </w:rPr>
              <w:t>设备检测项目清单</w:t>
            </w:r>
            <w:r>
              <w:rPr>
                <w:rFonts w:ascii="仿宋_GB2312" w:hAnsi="仿宋_GB2312" w:cs="仿宋_GB2312" w:eastAsia="仿宋_GB2312"/>
                <w:sz w:val="28"/>
              </w:rPr>
              <w:t>和性能参数检测标准</w:t>
            </w:r>
            <w:r>
              <w:rPr>
                <w:rFonts w:ascii="仿宋_GB2312" w:hAnsi="仿宋_GB2312" w:cs="仿宋_GB2312" w:eastAsia="仿宋_GB2312"/>
                <w:sz w:val="28"/>
              </w:rPr>
              <w:t>）、</w:t>
            </w:r>
            <w:r>
              <w:rPr>
                <w:rFonts w:ascii="仿宋_GB2312" w:hAnsi="仿宋_GB2312" w:cs="仿宋_GB2312" w:eastAsia="仿宋_GB2312"/>
                <w:sz w:val="28"/>
              </w:rPr>
              <w:t>巡检发现的问题与隐患</w:t>
            </w:r>
            <w:r>
              <w:rPr>
                <w:rFonts w:ascii="仿宋_GB2312" w:hAnsi="仿宋_GB2312" w:cs="仿宋_GB2312" w:eastAsia="仿宋_GB2312"/>
                <w:sz w:val="28"/>
              </w:rPr>
              <w:t>（</w:t>
            </w:r>
            <w:r>
              <w:rPr>
                <w:rFonts w:ascii="仿宋_GB2312" w:hAnsi="仿宋_GB2312" w:cs="仿宋_GB2312" w:eastAsia="仿宋_GB2312"/>
                <w:sz w:val="28"/>
              </w:rPr>
              <w:t>详细记录</w:t>
            </w:r>
            <w:r>
              <w:rPr>
                <w:rFonts w:ascii="仿宋_GB2312" w:hAnsi="仿宋_GB2312" w:cs="仿宋_GB2312" w:eastAsia="仿宋_GB2312"/>
                <w:sz w:val="28"/>
              </w:rPr>
              <w:t>异常部件状态</w:t>
            </w:r>
            <w:r>
              <w:rPr>
                <w:rFonts w:ascii="仿宋_GB2312" w:hAnsi="仿宋_GB2312" w:cs="仿宋_GB2312" w:eastAsia="仿宋_GB2312"/>
                <w:sz w:val="28"/>
              </w:rPr>
              <w:t>和做好潜在风险等级评估</w:t>
            </w:r>
            <w:r>
              <w:rPr>
                <w:rFonts w:ascii="仿宋_GB2312" w:hAnsi="仿宋_GB2312" w:cs="仿宋_GB2312" w:eastAsia="仿宋_GB2312"/>
                <w:sz w:val="28"/>
              </w:rPr>
              <w:t>）、</w:t>
            </w:r>
            <w:r>
              <w:rPr>
                <w:rFonts w:ascii="仿宋_GB2312" w:hAnsi="仿宋_GB2312" w:cs="仿宋_GB2312" w:eastAsia="仿宋_GB2312"/>
                <w:sz w:val="28"/>
              </w:rPr>
              <w:t>问题与隐患产生原因及后果分析</w:t>
            </w:r>
            <w:r>
              <w:rPr>
                <w:rFonts w:ascii="仿宋_GB2312" w:hAnsi="仿宋_GB2312" w:cs="仿宋_GB2312" w:eastAsia="仿宋_GB2312"/>
                <w:sz w:val="28"/>
              </w:rPr>
              <w:t>（</w:t>
            </w:r>
            <w:r>
              <w:rPr>
                <w:rFonts w:ascii="仿宋_GB2312" w:hAnsi="仿宋_GB2312" w:cs="仿宋_GB2312" w:eastAsia="仿宋_GB2312"/>
                <w:sz w:val="28"/>
              </w:rPr>
              <w:t>做好</w:t>
            </w:r>
            <w:r>
              <w:rPr>
                <w:rFonts w:ascii="仿宋_GB2312" w:hAnsi="仿宋_GB2312" w:cs="仿宋_GB2312" w:eastAsia="仿宋_GB2312"/>
                <w:sz w:val="28"/>
              </w:rPr>
              <w:t>多维度成因追溯</w:t>
            </w:r>
            <w:r>
              <w:rPr>
                <w:rFonts w:ascii="仿宋_GB2312" w:hAnsi="仿宋_GB2312" w:cs="仿宋_GB2312" w:eastAsia="仿宋_GB2312"/>
                <w:sz w:val="28"/>
              </w:rPr>
              <w:t>和风险后果模拟预测</w:t>
            </w:r>
            <w:r>
              <w:rPr>
                <w:rFonts w:ascii="仿宋_GB2312" w:hAnsi="仿宋_GB2312" w:cs="仿宋_GB2312" w:eastAsia="仿宋_GB2312"/>
                <w:sz w:val="28"/>
              </w:rPr>
              <w:t>）、</w:t>
            </w:r>
            <w:r>
              <w:rPr>
                <w:rFonts w:ascii="仿宋_GB2312" w:hAnsi="仿宋_GB2312" w:cs="仿宋_GB2312" w:eastAsia="仿宋_GB2312"/>
                <w:sz w:val="28"/>
              </w:rPr>
              <w:t>问题与隐患的处置过程</w:t>
            </w:r>
            <w:r>
              <w:rPr>
                <w:rFonts w:ascii="仿宋_GB2312" w:hAnsi="仿宋_GB2312" w:cs="仿宋_GB2312" w:eastAsia="仿宋_GB2312"/>
                <w:sz w:val="28"/>
              </w:rPr>
              <w:t>（</w:t>
            </w:r>
            <w:r>
              <w:rPr>
                <w:rFonts w:ascii="仿宋_GB2312" w:hAnsi="仿宋_GB2312" w:cs="仿宋_GB2312" w:eastAsia="仿宋_GB2312"/>
                <w:sz w:val="28"/>
              </w:rPr>
              <w:t>做好</w:t>
            </w:r>
            <w:r>
              <w:rPr>
                <w:rFonts w:ascii="仿宋_GB2312" w:hAnsi="仿宋_GB2312" w:cs="仿宋_GB2312" w:eastAsia="仿宋_GB2312"/>
                <w:sz w:val="28"/>
              </w:rPr>
              <w:t>预防性维护措施</w:t>
            </w:r>
            <w:r>
              <w:rPr>
                <w:rFonts w:ascii="仿宋_GB2312" w:hAnsi="仿宋_GB2312" w:cs="仿宋_GB2312" w:eastAsia="仿宋_GB2312"/>
                <w:sz w:val="28"/>
              </w:rPr>
              <w:t>和校正维修实施记录</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2.3其他要求</w:t>
            </w:r>
          </w:p>
          <w:p>
            <w:pPr>
              <w:pStyle w:val="null3"/>
              <w:ind w:firstLine="560"/>
              <w:jc w:val="both"/>
            </w:pPr>
            <w:r>
              <w:rPr>
                <w:rFonts w:ascii="仿宋_GB2312" w:hAnsi="仿宋_GB2312" w:cs="仿宋_GB2312" w:eastAsia="仿宋_GB2312"/>
                <w:sz w:val="28"/>
              </w:rPr>
              <w:t>2.3.1成交供应商必须采取明确有效的预防措施，防止公司员工在合同执行期间将掌握的任何有关客户机密或专有信息透露给任何未经授权的人等。如因此给用户造成损失或不良影响的有成交供应商承担相关责任并赔偿。</w:t>
            </w:r>
          </w:p>
          <w:p>
            <w:pPr>
              <w:pStyle w:val="null3"/>
              <w:ind w:firstLine="560"/>
              <w:jc w:val="both"/>
            </w:pPr>
            <w:r>
              <w:rPr>
                <w:rFonts w:ascii="仿宋_GB2312" w:hAnsi="仿宋_GB2312" w:cs="仿宋_GB2312" w:eastAsia="仿宋_GB2312"/>
                <w:sz w:val="28"/>
              </w:rPr>
              <w:t>2.3.2供应商应确保其技术方案以及所提供产品的完整性、实用性，保证全部系统及时投入正常运行。否则若出现因供应商提供的产品不满足要求、不合理，或者其所提供的技术支持和服务不全面，而导致系统无法实现或不能完全实现的状况，供应商负全部责任。</w:t>
            </w:r>
          </w:p>
          <w:p>
            <w:pPr>
              <w:pStyle w:val="null3"/>
              <w:ind w:firstLine="560"/>
              <w:jc w:val="both"/>
            </w:pPr>
            <w:r>
              <w:rPr>
                <w:rFonts w:ascii="仿宋_GB2312" w:hAnsi="仿宋_GB2312" w:cs="仿宋_GB2312" w:eastAsia="仿宋_GB2312"/>
                <w:sz w:val="28"/>
              </w:rPr>
              <w:t>2.3.3成交供应商在维护期内所使用的软件工具等必须为正版软件，如因成交供应商使用非正版软件造成的一切后果由成交供应商承担。</w:t>
            </w:r>
          </w:p>
          <w:p>
            <w:pPr>
              <w:pStyle w:val="null3"/>
              <w:ind w:firstLine="560"/>
              <w:jc w:val="both"/>
            </w:pPr>
            <w:r>
              <w:rPr>
                <w:rFonts w:ascii="仿宋_GB2312" w:hAnsi="仿宋_GB2312" w:cs="仿宋_GB2312" w:eastAsia="仿宋_GB2312"/>
                <w:sz w:val="28"/>
              </w:rPr>
              <w:t>2.3.4本项目范围内所有设备的非人为故障维护涉及配件均由供应商免费提供。</w:t>
            </w:r>
          </w:p>
          <w:p>
            <w:pPr>
              <w:pStyle w:val="null3"/>
              <w:ind w:firstLine="560"/>
              <w:jc w:val="both"/>
            </w:pPr>
            <w:r>
              <w:rPr>
                <w:rFonts w:ascii="仿宋_GB2312" w:hAnsi="仿宋_GB2312" w:cs="仿宋_GB2312" w:eastAsia="仿宋_GB2312"/>
                <w:sz w:val="28"/>
              </w:rPr>
              <w:t>2.3.5供应商应独立完成用户方的设备软件升级及进行故障诊断和恢复，在升级及系统故障处理时，未经用户方许可，供应商不得借助用户方的任何资源。</w:t>
            </w:r>
          </w:p>
          <w:p>
            <w:pPr>
              <w:pStyle w:val="null3"/>
              <w:ind w:firstLine="560"/>
              <w:jc w:val="both"/>
            </w:pPr>
            <w:r>
              <w:rPr>
                <w:rFonts w:ascii="仿宋_GB2312" w:hAnsi="仿宋_GB2312" w:cs="仿宋_GB2312" w:eastAsia="仿宋_GB2312"/>
                <w:sz w:val="28"/>
                <w:b/>
              </w:rPr>
              <w:t>三、服务要求</w:t>
            </w:r>
          </w:p>
          <w:p>
            <w:pPr>
              <w:pStyle w:val="null3"/>
              <w:ind w:firstLine="560"/>
              <w:jc w:val="both"/>
            </w:pPr>
            <w:r>
              <w:rPr>
                <w:rFonts w:ascii="仿宋_GB2312" w:hAnsi="仿宋_GB2312" w:cs="仿宋_GB2312" w:eastAsia="仿宋_GB2312"/>
                <w:sz w:val="28"/>
              </w:rPr>
              <w:t>1.供应商</w:t>
            </w:r>
            <w:r>
              <w:rPr>
                <w:rFonts w:ascii="仿宋_GB2312" w:hAnsi="仿宋_GB2312" w:cs="仿宋_GB2312" w:eastAsia="仿宋_GB2312"/>
                <w:sz w:val="28"/>
              </w:rPr>
              <w:t>须</w:t>
            </w:r>
            <w:r>
              <w:rPr>
                <w:rFonts w:ascii="仿宋_GB2312" w:hAnsi="仿宋_GB2312" w:cs="仿宋_GB2312" w:eastAsia="仿宋_GB2312"/>
                <w:sz w:val="28"/>
              </w:rPr>
              <w:t>提供本次维保设备的原厂授权函原件和原厂售后承诺函原件。</w:t>
            </w:r>
          </w:p>
          <w:p>
            <w:pPr>
              <w:pStyle w:val="null3"/>
              <w:ind w:firstLine="560"/>
              <w:jc w:val="both"/>
            </w:pPr>
            <w:r>
              <w:rPr>
                <w:rFonts w:ascii="仿宋_GB2312" w:hAnsi="仿宋_GB2312" w:cs="仿宋_GB2312" w:eastAsia="仿宋_GB2312"/>
                <w:sz w:val="28"/>
              </w:rPr>
              <w:t>2.制定科学合理的维护管理办法和措施，对上述设备进行监控、巡检、故障排除、故障备件更换和日常维护、优化，确保所有系统安全稳定运行。在服务过程中应采取科学、合理的运维手段，确保服务质量。</w:t>
            </w:r>
          </w:p>
          <w:p>
            <w:pPr>
              <w:pStyle w:val="null3"/>
              <w:ind w:firstLine="560"/>
              <w:jc w:val="both"/>
            </w:pPr>
            <w:r>
              <w:rPr>
                <w:rFonts w:ascii="仿宋_GB2312" w:hAnsi="仿宋_GB2312" w:cs="仿宋_GB2312" w:eastAsia="仿宋_GB2312"/>
                <w:sz w:val="28"/>
                <w:b/>
              </w:rPr>
              <w:t>四、</w:t>
            </w:r>
            <w:r>
              <w:rPr>
                <w:rFonts w:ascii="仿宋_GB2312" w:hAnsi="仿宋_GB2312" w:cs="仿宋_GB2312" w:eastAsia="仿宋_GB2312"/>
                <w:sz w:val="28"/>
                <w:b/>
              </w:rPr>
              <w:t>★商务要求(商务要求为实质性要求，不可负偏离)</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服务期限</w:t>
            </w:r>
          </w:p>
          <w:p>
            <w:pPr>
              <w:pStyle w:val="null3"/>
              <w:ind w:firstLine="560"/>
              <w:jc w:val="both"/>
            </w:pPr>
            <w:r>
              <w:rPr>
                <w:rFonts w:ascii="仿宋_GB2312" w:hAnsi="仿宋_GB2312" w:cs="仿宋_GB2312" w:eastAsia="仿宋_GB2312"/>
                <w:sz w:val="28"/>
              </w:rPr>
              <w:t>本次服务期限一年，具体时间在合同中约定</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款项结算</w:t>
            </w:r>
          </w:p>
          <w:p>
            <w:pPr>
              <w:pStyle w:val="null3"/>
              <w:ind w:firstLine="560"/>
              <w:jc w:val="both"/>
            </w:pPr>
            <w:r>
              <w:rPr>
                <w:rFonts w:ascii="仿宋_GB2312" w:hAnsi="仿宋_GB2312" w:cs="仿宋_GB2312" w:eastAsia="仿宋_GB2312"/>
                <w:sz w:val="28"/>
              </w:rPr>
              <w:t>项目完成并经采购方验收合格后</w:t>
            </w:r>
            <w:r>
              <w:rPr>
                <w:rFonts w:ascii="仿宋_GB2312" w:hAnsi="仿宋_GB2312" w:cs="仿宋_GB2312" w:eastAsia="仿宋_GB2312"/>
                <w:sz w:val="28"/>
                <w:color w:val="000000"/>
              </w:rPr>
              <w:t>30 天内</w:t>
            </w:r>
            <w:r>
              <w:rPr>
                <w:rFonts w:ascii="仿宋_GB2312" w:hAnsi="仿宋_GB2312" w:cs="仿宋_GB2312" w:eastAsia="仿宋_GB2312"/>
                <w:sz w:val="28"/>
              </w:rPr>
              <w:t>依据等额发票</w:t>
            </w:r>
            <w:r>
              <w:rPr>
                <w:rFonts w:ascii="仿宋_GB2312" w:hAnsi="仿宋_GB2312" w:cs="仿宋_GB2312" w:eastAsia="仿宋_GB2312"/>
                <w:sz w:val="28"/>
              </w:rPr>
              <w:t>一次性付清全部款项。</w:t>
            </w:r>
          </w:p>
          <w:p>
            <w:pPr>
              <w:pStyle w:val="null3"/>
              <w:ind w:firstLine="560"/>
            </w:pPr>
            <w:r>
              <w:rPr>
                <w:rFonts w:ascii="仿宋_GB2312" w:hAnsi="仿宋_GB2312" w:cs="仿宋_GB2312" w:eastAsia="仿宋_GB2312"/>
                <w:sz w:val="28"/>
                <w:color w:val="000000"/>
              </w:rPr>
              <w:t>3.履约保证金</w:t>
            </w:r>
          </w:p>
          <w:p>
            <w:pPr>
              <w:pStyle w:val="null3"/>
              <w:ind w:firstLine="560"/>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）履约保证金交纳时间：供应商应在</w:t>
            </w:r>
            <w:r>
              <w:rPr>
                <w:rFonts w:ascii="仿宋_GB2312" w:hAnsi="仿宋_GB2312" w:cs="仿宋_GB2312" w:eastAsia="仿宋_GB2312"/>
                <w:sz w:val="28"/>
                <w:color w:val="000000"/>
              </w:rPr>
              <w:t>签订合同前须</w:t>
            </w:r>
            <w:r>
              <w:rPr>
                <w:rFonts w:ascii="仿宋_GB2312" w:hAnsi="仿宋_GB2312" w:cs="仿宋_GB2312" w:eastAsia="仿宋_GB2312"/>
                <w:sz w:val="28"/>
                <w:color w:val="000000"/>
              </w:rPr>
              <w:t>将履约保证金交至西安市财政局预算单位实有资金财政代管账户，其数额为合同金额的</w:t>
            </w:r>
            <w:r>
              <w:rPr>
                <w:rFonts w:ascii="仿宋_GB2312" w:hAnsi="仿宋_GB2312" w:cs="仿宋_GB2312" w:eastAsia="仿宋_GB2312"/>
                <w:sz w:val="28"/>
                <w:color w:val="000000"/>
              </w:rPr>
              <w:t>5%。</w:t>
            </w:r>
          </w:p>
          <w:p>
            <w:pPr>
              <w:pStyle w:val="null3"/>
              <w:ind w:firstLine="560"/>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）履约保证金的缴纳形式：供应商</w:t>
            </w:r>
            <w:r>
              <w:rPr>
                <w:rFonts w:ascii="仿宋_GB2312" w:hAnsi="仿宋_GB2312" w:cs="仿宋_GB2312" w:eastAsia="仿宋_GB2312"/>
                <w:sz w:val="28"/>
                <w:color w:val="000000"/>
              </w:rPr>
              <w:t>可</w:t>
            </w:r>
            <w:r>
              <w:rPr>
                <w:rFonts w:ascii="仿宋_GB2312" w:hAnsi="仿宋_GB2312" w:cs="仿宋_GB2312" w:eastAsia="仿宋_GB2312"/>
                <w:sz w:val="28"/>
                <w:color w:val="000000"/>
              </w:rPr>
              <w:t>自主选择</w:t>
            </w:r>
            <w:r>
              <w:rPr>
                <w:rFonts w:ascii="仿宋_GB2312" w:hAnsi="仿宋_GB2312" w:cs="仿宋_GB2312" w:eastAsia="仿宋_GB2312"/>
                <w:sz w:val="28"/>
                <w:color w:val="000000"/>
              </w:rPr>
              <w:t>银行对公转账、电汇或</w:t>
            </w:r>
            <w:r>
              <w:rPr>
                <w:rFonts w:ascii="仿宋_GB2312" w:hAnsi="仿宋_GB2312" w:cs="仿宋_GB2312" w:eastAsia="仿宋_GB2312"/>
                <w:sz w:val="28"/>
                <w:color w:val="000000"/>
              </w:rPr>
              <w:t>以支票、保函等非现金形式</w:t>
            </w:r>
            <w:r>
              <w:rPr>
                <w:rFonts w:ascii="仿宋_GB2312" w:hAnsi="仿宋_GB2312" w:cs="仿宋_GB2312" w:eastAsia="仿宋_GB2312"/>
                <w:sz w:val="28"/>
                <w:color w:val="000000"/>
              </w:rPr>
              <w:t>交</w:t>
            </w:r>
            <w:r>
              <w:rPr>
                <w:rFonts w:ascii="仿宋_GB2312" w:hAnsi="仿宋_GB2312" w:cs="仿宋_GB2312" w:eastAsia="仿宋_GB2312"/>
                <w:sz w:val="28"/>
                <w:color w:val="000000"/>
              </w:rPr>
              <w:t>纳。</w:t>
            </w:r>
          </w:p>
          <w:p>
            <w:pPr>
              <w:pStyle w:val="null3"/>
              <w:ind w:firstLine="560"/>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）履约保证金的退还：项目验收合格后，成交供应商向采购人提交双方约定的所有档案资料</w:t>
            </w:r>
            <w:r>
              <w:rPr>
                <w:rFonts w:ascii="仿宋_GB2312" w:hAnsi="仿宋_GB2312" w:cs="仿宋_GB2312" w:eastAsia="仿宋_GB2312"/>
                <w:sz w:val="28"/>
                <w:color w:val="000000"/>
              </w:rPr>
              <w:t>(三份纸质版，一份电子版)，并持《申请支付履约保证金的函》到采购人办理相关手续后，采购人于30日内向成交供应商无息退还。</w:t>
            </w:r>
          </w:p>
          <w:p>
            <w:pPr>
              <w:pStyle w:val="null3"/>
              <w:ind w:firstLine="560"/>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）履约保证金收取</w:t>
            </w:r>
            <w:r>
              <w:rPr>
                <w:rFonts w:ascii="仿宋_GB2312" w:hAnsi="仿宋_GB2312" w:cs="仿宋_GB2312" w:eastAsia="仿宋_GB2312"/>
                <w:sz w:val="28"/>
                <w:color w:val="000000"/>
              </w:rPr>
              <w:t>账号信息</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名称</w:t>
            </w:r>
            <w:r>
              <w:rPr>
                <w:rFonts w:ascii="仿宋_GB2312" w:hAnsi="仿宋_GB2312" w:cs="仿宋_GB2312" w:eastAsia="仿宋_GB2312"/>
                <w:sz w:val="28"/>
                <w:color w:val="000000"/>
              </w:rPr>
              <w:t>:西安市财政局预算单位实有资金财政代管账户</w:t>
            </w:r>
          </w:p>
          <w:p>
            <w:pPr>
              <w:pStyle w:val="null3"/>
              <w:ind w:firstLine="560"/>
            </w:pPr>
            <w:r>
              <w:rPr>
                <w:rFonts w:ascii="仿宋_GB2312" w:hAnsi="仿宋_GB2312" w:cs="仿宋_GB2312" w:eastAsia="仿宋_GB2312"/>
                <w:sz w:val="28"/>
                <w:color w:val="000000"/>
              </w:rPr>
              <w:t>开户银行</w:t>
            </w:r>
            <w:r>
              <w:rPr>
                <w:rFonts w:ascii="仿宋_GB2312" w:hAnsi="仿宋_GB2312" w:cs="仿宋_GB2312" w:eastAsia="仿宋_GB2312"/>
                <w:sz w:val="28"/>
                <w:color w:val="000000"/>
              </w:rPr>
              <w:t>:中国建设银行股份有限公司西安莲湖路支行</w:t>
            </w:r>
          </w:p>
          <w:p>
            <w:pPr>
              <w:pStyle w:val="null3"/>
              <w:ind w:firstLine="560"/>
            </w:pPr>
            <w:r>
              <w:rPr>
                <w:rFonts w:ascii="仿宋_GB2312" w:hAnsi="仿宋_GB2312" w:cs="仿宋_GB2312" w:eastAsia="仿宋_GB2312"/>
                <w:sz w:val="28"/>
                <w:color w:val="000000"/>
              </w:rPr>
              <w:t>银行账号</w:t>
            </w:r>
            <w:r>
              <w:rPr>
                <w:rFonts w:ascii="仿宋_GB2312" w:hAnsi="仿宋_GB2312" w:cs="仿宋_GB2312" w:eastAsia="仿宋_GB2312"/>
                <w:sz w:val="28"/>
                <w:color w:val="000000"/>
              </w:rPr>
              <w:t>:61001711100052518874-203033</w:t>
            </w:r>
          </w:p>
          <w:p>
            <w:pPr>
              <w:pStyle w:val="null3"/>
              <w:ind w:firstLine="560"/>
            </w:pPr>
            <w:r>
              <w:rPr>
                <w:rFonts w:ascii="仿宋_GB2312" w:hAnsi="仿宋_GB2312" w:cs="仿宋_GB2312" w:eastAsia="仿宋_GB2312"/>
                <w:sz w:val="28"/>
                <w:color w:val="000000"/>
              </w:rPr>
              <w:t>纳税人识别号</w:t>
            </w:r>
            <w:r>
              <w:rPr>
                <w:rFonts w:ascii="仿宋_GB2312" w:hAnsi="仿宋_GB2312" w:cs="仿宋_GB2312" w:eastAsia="仿宋_GB2312"/>
                <w:sz w:val="28"/>
                <w:color w:val="000000"/>
              </w:rPr>
              <w:t>:12610100437202545W</w:t>
            </w:r>
          </w:p>
          <w:p>
            <w:pPr>
              <w:pStyle w:val="null3"/>
              <w:ind w:firstLine="560"/>
            </w:pPr>
            <w:r>
              <w:rPr>
                <w:rFonts w:ascii="仿宋_GB2312" w:hAnsi="仿宋_GB2312" w:cs="仿宋_GB2312" w:eastAsia="仿宋_GB2312"/>
                <w:sz w:val="28"/>
                <w:color w:val="000000"/>
              </w:rPr>
              <w:t>地址</w:t>
            </w:r>
            <w:r>
              <w:rPr>
                <w:rFonts w:ascii="仿宋_GB2312" w:hAnsi="仿宋_GB2312" w:cs="仿宋_GB2312" w:eastAsia="仿宋_GB2312"/>
                <w:sz w:val="28"/>
                <w:color w:val="000000"/>
              </w:rPr>
              <w:t>:西安市灞桥区港务大道 396号</w:t>
            </w:r>
          </w:p>
          <w:p>
            <w:pPr>
              <w:pStyle w:val="null3"/>
              <w:ind w:firstLine="560"/>
              <w:jc w:val="both"/>
            </w:pPr>
            <w:r>
              <w:rPr>
                <w:rFonts w:ascii="仿宋_GB2312" w:hAnsi="仿宋_GB2312" w:cs="仿宋_GB2312" w:eastAsia="仿宋_GB2312"/>
                <w:sz w:val="28"/>
                <w:color w:val="000000"/>
              </w:rPr>
              <w:t>电话：</w:t>
            </w:r>
            <w:r>
              <w:rPr>
                <w:rFonts w:ascii="仿宋_GB2312" w:hAnsi="仿宋_GB2312" w:cs="仿宋_GB2312" w:eastAsia="仿宋_GB2312"/>
                <w:sz w:val="28"/>
                <w:color w:val="000000"/>
              </w:rPr>
              <w:t>029-88092201</w:t>
            </w:r>
          </w:p>
          <w:p>
            <w:pPr>
              <w:pStyle w:val="null3"/>
              <w:ind w:firstLine="560"/>
              <w:jc w:val="both"/>
            </w:pPr>
            <w:r>
              <w:rPr>
                <w:rFonts w:ascii="仿宋_GB2312" w:hAnsi="仿宋_GB2312" w:cs="仿宋_GB2312" w:eastAsia="仿宋_GB2312"/>
                <w:sz w:val="28"/>
                <w:b/>
              </w:rPr>
              <w:t>五、其他</w:t>
            </w:r>
            <w:r>
              <w:rPr>
                <w:rFonts w:ascii="仿宋_GB2312" w:hAnsi="仿宋_GB2312" w:cs="仿宋_GB2312" w:eastAsia="仿宋_GB2312"/>
                <w:sz w:val="28"/>
              </w:rPr>
              <w:t>★</w:t>
            </w:r>
            <w:r>
              <w:rPr>
                <w:rFonts w:ascii="仿宋_GB2312" w:hAnsi="仿宋_GB2312" w:cs="仿宋_GB2312" w:eastAsia="仿宋_GB2312"/>
                <w:sz w:val="28"/>
                <w:b/>
              </w:rPr>
              <w:t>（本项为实质性要求，不可负偏离）</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成果交付要求</w:t>
            </w:r>
          </w:p>
          <w:p>
            <w:pPr>
              <w:pStyle w:val="null3"/>
              <w:ind w:firstLine="560"/>
              <w:jc w:val="both"/>
            </w:pPr>
            <w:r>
              <w:rPr>
                <w:rFonts w:ascii="仿宋_GB2312" w:hAnsi="仿宋_GB2312" w:cs="仿宋_GB2312" w:eastAsia="仿宋_GB2312"/>
                <w:sz w:val="28"/>
              </w:rPr>
              <w:t>每次巡检要求工程师携带工作证到用户现场巡检，并且需要用户现场签字确认，提供详细的巡检报告，并把用户确认报告整理成文档。</w:t>
            </w:r>
          </w:p>
          <w:p>
            <w:pPr>
              <w:pStyle w:val="null3"/>
              <w:ind w:firstLine="560"/>
              <w:jc w:val="both"/>
            </w:pPr>
            <w:r>
              <w:rPr>
                <w:rFonts w:ascii="仿宋_GB2312" w:hAnsi="仿宋_GB2312" w:cs="仿宋_GB2312" w:eastAsia="仿宋_GB2312"/>
                <w:sz w:val="28"/>
              </w:rPr>
              <w:t>2.质量验收标准或规范</w:t>
            </w:r>
          </w:p>
          <w:p>
            <w:pPr>
              <w:pStyle w:val="null3"/>
              <w:ind w:firstLine="560"/>
              <w:jc w:val="both"/>
            </w:pPr>
            <w:r>
              <w:rPr>
                <w:rFonts w:ascii="仿宋_GB2312" w:hAnsi="仿宋_GB2312" w:cs="仿宋_GB2312" w:eastAsia="仿宋_GB2312"/>
                <w:sz w:val="28"/>
              </w:rPr>
              <w:t>提供官网可查的维保截图，制定科学合理的维护管理办法和措施，对上述设备进行监控、巡检、故障排除、故障备件更换和日常维护、优化，确保所有系统安全稳定运行。</w:t>
            </w:r>
          </w:p>
          <w:p>
            <w:pPr>
              <w:pStyle w:val="null3"/>
              <w:ind w:firstLine="560"/>
              <w:jc w:val="both"/>
            </w:pPr>
            <w:r>
              <w:rPr>
                <w:rFonts w:ascii="仿宋_GB2312" w:hAnsi="仿宋_GB2312" w:cs="仿宋_GB2312" w:eastAsia="仿宋_GB2312"/>
                <w:sz w:val="28"/>
              </w:rPr>
              <w:t>3.违约责任</w:t>
            </w:r>
          </w:p>
          <w:p>
            <w:pPr>
              <w:pStyle w:val="null3"/>
              <w:jc w:val="both"/>
            </w:pPr>
            <w:r>
              <w:rPr>
                <w:rFonts w:ascii="仿宋_GB2312" w:hAnsi="仿宋_GB2312" w:cs="仿宋_GB2312" w:eastAsia="仿宋_GB2312"/>
                <w:sz w:val="28"/>
              </w:rPr>
              <w:t>按《中华人民共和国民法典》中的相关条款执行。未按合同要求时限内完成，采购方有权终止合同，并对成交单位违约行为进行追究，同时按《政府采购法》的有关规定进行处罚。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本次服务期限一年，具体时间在合同中约定。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按照竞争性磋商文件、响应文件、合同协议执行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项目完成并经采购方验收合格后提供等额发票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按《中华人民共和国民法典》中的相关条款执行。未按合同要求时限内完成，采购方有权终止合同，并对成交单位违约行为进行追究，同时按《政府采购法》的有关规定进行处罚。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确定成交单位后，成交单位须提供通过电子化交易平台生成的纸质版响应文件正本壹份、副本贰套、电子版壹 套（U盘一套标明供应商名称），应与线上提交的响应文件保持一致。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分项报价表.docx 标的清单 报价表 响应函 商务及技术偏离表.docx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提供2024年5月1日至今已缴纳的至少一个月的纳税证明或完税证明，依法免税的单位应提供相关证明材料，提供复印件并进行电子签章。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提供2024年10月1日至今已缴纳的至少一个月的社会保障资金缴存单据或社保机构开具的社会保险参保缴费情况证明，依法不需要缴纳社会保障资金的单位应提供相关证明材料，提供复印件并进行电子签章。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（1）提供参加政府采购活动前三年内在经营活动中没有重大违法记录的书面声明；（2）提供具有履行本合同所必需的设备和专业技术能力的说明及承诺，需进行电子签章。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（1）法定代表人授权委托书（附被授权人身份证复印件）；法定代表人或负责人直接参加只须提供法定代表人资格证明书（附法定代表人或负责人身份证复印件），本项需进行电子签章。 （2）采购人、采购代理机构将于本项目截止当日在“信用中国”网站、“中国政府采购网”网站等渠道对供应商进行信用记录查询，查询结果留存。凡被列入失信被执行人（页面跳转至“中国执行信息公开网”http://zxgk.court.gov.cn/shixin/）、重大税收违法失信主体、政府采购严重违法失信行为记录名单的，视为存在不良信用记录，参与本项目的将被拒绝。 （3）采购人、采购代理机构将于本项目截止当日在“国家企业信用信息公示系统”网站对供应商进行信息进行查询，查询结果留存。单位负责人为同一人或者存在直接控股、管理关系的不同供应商，参与本项目的将被拒绝。 （4）不接受联合体磋商（需提供声明并进行电子签章）。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技术服务方案.docx 质量保证方案.docx 承诺.docx 中小企业声明函 人员保障方案.docx 应急方案.docx 报价表 项目实施方案.docx 资格证明文件.docx 响应文件封面 履约能力.docx 分项报价表.docx 售后服务.docx 残疾人福利性单位声明函 备件支持保障方案.docx 总体服务方案.docx 标的清单 响应函 商务及技术偏离表.docx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响应文件封面 分项报价表.docx 承诺.docx 标的清单 报价表 响应函 商务及技术偏离表.docx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（2）报价一览表填写符合要求； （3）计量单位、报价货币均符合磋商文件要求；（4）未超出采购预算或竞争性磋商文件规定的最高限价。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要求全面响应，符合竞争性磋商文件相关要求；不能有任何采购人不能接受的附加条件。</w:t>
            </w:r>
          </w:p>
        </w:tc>
        <w:tc>
          <w:tcPr>
            <w:tcW w:type="dxa" w:w="1661"/>
          </w:tcPr>
          <w:p>
            <w:pPr>
              <w:pStyle w:val="null3"/>
            </w:pPr>
            <w:r>
              <w:rPr>
                <w:rFonts w:ascii="仿宋_GB2312" w:hAnsi="仿宋_GB2312" w:cs="仿宋_GB2312" w:eastAsia="仿宋_GB2312"/>
              </w:rPr>
              <w:t>技术服务方案.docx 履约能力.docx 质量保证方案.docx 承诺.docx 售后服务.docx 备件支持保障方案.docx 总体服务方案.docx 人员保障方案.docx 应急方案.docx 项目实施方案.docx 商务及技术偏离表.docx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提供针对本项目的整体服务方案，内容包括①针对项目理解及日常维保服务方案、②服务标准、③风险防范措施、④设备调试服务方案； 二、评审标准 1.完整性：方案须全面，对评审内容中的各项要求有详细描述。 2.可实施性：切合本项目实际情况，实施步骤清晰、合理。 3.针对性：方案能够紧扣项目实际情况，内容科学合理。 三、赋分依据（满分12分） ①针对项目理解及日常维保服务方案：每完全满足一个评审标准得1分，满分3分。 ②服务标准:每完全满足一个评审标准得1分，满分3分。 ③风险防范措施:每完全满足一个评审标准得1分，满分3分。 ④设备调试服务方案：每完全满足一个评审标准得1分，满分3分。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提供针对本项目的技术方案，内容包括①故障维护技术服务方案、②检修和巡检技术服务方案、③其他技术服务方案。 二、评审标准 1.完整性：方案须全面，对评审内容中的各项要求有详细描述。 2.可实施性：切合本项目实际情况，实施步骤清晰、合理。 3.针对性：方案能够紧扣项目实际情况，内容科学合理。 三、赋分依据（满分9分） ①故障维护技术服务方案：每完全满足一个评审标准得1分，满分3分。 ②检修和巡检技术服务方案:每完全满足一个评审标准得1分，满分3分。 ③其他技术服务方案:每完全满足一个评审标准得1分，满分3分。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根据项目实际需求，提供完整详细的项目实施方案。内容包含：①项目总体计划安排、②运行维护管理体系及服务策略、③项目管理方案。 二、评审标准 1.完整性：方案须全面，对评审内容中的各项要求有详细描述。 2.可实施性：切合本项目实际情况，实施步骤清晰、合理。 3.针对性：方案能够紧扣项目实际情况，内容科学合理。 三、赋分依据（满分9分） ①项目总进度计划：每完全满足一个评审标准得1分，满分3分。 ②运行维护管理体系及服务策略:每完全满足一个评审标准得1分，满分3分。 ③项目管理方案:每完全满足一个评审标准得1分，满分3分。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质量保证方案1</w:t>
            </w:r>
          </w:p>
        </w:tc>
        <w:tc>
          <w:tcPr>
            <w:tcW w:type="dxa" w:w="2492"/>
          </w:tcPr>
          <w:p>
            <w:pPr>
              <w:pStyle w:val="null3"/>
            </w:pPr>
            <w:r>
              <w:rPr>
                <w:rFonts w:ascii="仿宋_GB2312" w:hAnsi="仿宋_GB2312" w:cs="仿宋_GB2312" w:eastAsia="仿宋_GB2312"/>
              </w:rPr>
              <w:t>一、评审内容 根据项目实际需求，提供质量保证方案。内容包含：①设备软件配置调试和硬件安装更换的质量保证措施②质量管理体系及保证措施。 二、评审标准 1.完整性：方案须全面，对评审内容中的各项要求有详细描述。 2.可实施性：切合本项目实际情况，实施步骤清晰、合理。 3.针对性：方案能够紧扣项目实际情况，内容科学合理。 三、赋分依据（满分6分） ①设备软件配置调试和硬件安装更换的质量保证措施：每完全满足一个评审标准得1分，满分3分。 ②质量管理体系及保证措施:每完全满足一个评审标准得1分，满分3分。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质量保证方案2</w:t>
            </w:r>
          </w:p>
        </w:tc>
        <w:tc>
          <w:tcPr>
            <w:tcW w:type="dxa" w:w="2492"/>
          </w:tcPr>
          <w:p>
            <w:pPr>
              <w:pStyle w:val="null3"/>
            </w:pPr>
            <w:r>
              <w:rPr>
                <w:rFonts w:ascii="仿宋_GB2312" w:hAnsi="仿宋_GB2312" w:cs="仿宋_GB2312" w:eastAsia="仿宋_GB2312"/>
              </w:rPr>
              <w:t>1.供应商提供ITSS信息技术服务运行维护标准符合性证书贰级（含）及以上，提供有效的证明资料，计1分，不提供不计分； 2.供应商提供信息系统建设和服务能力等级证书CS3级（含）及以上，提供有效的证明资料，计1分，不提供不计分； 3.供应商提供有效的质量管理体系认证证书、职业健康安全管理体系认证证书、信息技术服务管理体系认证证书、信息安全管理体系认证证书，每有一项得0.5分，满分2分，没有不得分；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人员保障方案1</w:t>
            </w:r>
          </w:p>
        </w:tc>
        <w:tc>
          <w:tcPr>
            <w:tcW w:type="dxa" w:w="2492"/>
          </w:tcPr>
          <w:p>
            <w:pPr>
              <w:pStyle w:val="null3"/>
            </w:pPr>
            <w:r>
              <w:rPr>
                <w:rFonts w:ascii="仿宋_GB2312" w:hAnsi="仿宋_GB2312" w:cs="仿宋_GB2312" w:eastAsia="仿宋_GB2312"/>
              </w:rPr>
              <w:t>提供针对本项目拟派的人员配备清单(清单内容应包含:具体成员姓名、年龄、学历、专业技能、工作经验、拟从事岗位)，根据人员配置是否满足采购人要求及配备的合理性、专业性综合评审。 人员配备充足、后备力量有保障，专业全面，得3-4分。 人员配置合理、全面、专业，得2分。 人员配置简单、专业性较强，得1分。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人员保障方案.docx</w:t>
            </w:r>
          </w:p>
        </w:tc>
      </w:tr>
      <w:tr>
        <w:tc>
          <w:tcPr>
            <w:tcW w:type="dxa" w:w="831"/>
            <w:vMerge/>
          </w:tcPr>
          <w:p/>
        </w:tc>
        <w:tc>
          <w:tcPr>
            <w:tcW w:type="dxa" w:w="1661"/>
          </w:tcPr>
          <w:p>
            <w:pPr>
              <w:pStyle w:val="null3"/>
            </w:pPr>
            <w:r>
              <w:rPr>
                <w:rFonts w:ascii="仿宋_GB2312" w:hAnsi="仿宋_GB2312" w:cs="仿宋_GB2312" w:eastAsia="仿宋_GB2312"/>
              </w:rPr>
              <w:t>人员保障方案2</w:t>
            </w:r>
          </w:p>
        </w:tc>
        <w:tc>
          <w:tcPr>
            <w:tcW w:type="dxa" w:w="2492"/>
          </w:tcPr>
          <w:p>
            <w:pPr>
              <w:pStyle w:val="null3"/>
            </w:pPr>
            <w:r>
              <w:rPr>
                <w:rFonts w:ascii="仿宋_GB2312" w:hAnsi="仿宋_GB2312" w:cs="仿宋_GB2312" w:eastAsia="仿宋_GB2312"/>
              </w:rPr>
              <w:t>1.供应商针对本项目派遣的项目经理具备ITSS认证的IT服务项目经理认证证书计2分，不提供不计分； 2.供应商针对本项目拟投入人员中除项目经理外具备HCIE-R&amp;S或H3CIE认证工程师证书，每有1个加1分，最高计3分，不提供不计分；除项目经理外具备CISP信息安全工程师认证证书，每有1个加1分，最高计3分，不提供不计分；本项满分6分。 注：以上1.2项证书必须有效且必须提供以上所有人员在投标人单位的2024年6月1日以来连续3个月的社保缴纳证明（社保机构出具）方可得分。未提供或提供不全者不得分。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人员保障方案.docx</w:t>
            </w:r>
          </w:p>
        </w:tc>
      </w:tr>
      <w:tr>
        <w:tc>
          <w:tcPr>
            <w:tcW w:type="dxa" w:w="831"/>
            <w:vMerge/>
          </w:tcPr>
          <w:p/>
        </w:tc>
        <w:tc>
          <w:tcPr>
            <w:tcW w:type="dxa" w:w="1661"/>
          </w:tcPr>
          <w:p>
            <w:pPr>
              <w:pStyle w:val="null3"/>
            </w:pPr>
            <w:r>
              <w:rPr>
                <w:rFonts w:ascii="仿宋_GB2312" w:hAnsi="仿宋_GB2312" w:cs="仿宋_GB2312" w:eastAsia="仿宋_GB2312"/>
              </w:rPr>
              <w:t>备件支持保障方案</w:t>
            </w:r>
          </w:p>
        </w:tc>
        <w:tc>
          <w:tcPr>
            <w:tcW w:type="dxa" w:w="2492"/>
          </w:tcPr>
          <w:p>
            <w:pPr>
              <w:pStyle w:val="null3"/>
            </w:pPr>
            <w:r>
              <w:rPr>
                <w:rFonts w:ascii="仿宋_GB2312" w:hAnsi="仿宋_GB2312" w:cs="仿宋_GB2312" w:eastAsia="仿宋_GB2312"/>
              </w:rPr>
              <w:t>一、评审内容 针对本项目提供备件支持保障方案，方案包含：①详细具体的备件保障方案及备件管理制度；②为本项目准备的备品备件清单。 二、评审标准 1.完整性：方案须全面，对评审内容中的各项要求有详细描述及说明； 2.可实施性：切合本项目实际情况，实施步骤清晰、合理； 3.针对性：方案能够紧扣标段实际情况，内容科学合理。 三、赋分标准（满分6分） ①详细具体的备件保障方案及备件管理制度：每完全满足一项评审标准得1分，满分3分； ②为本项目准备的备品备件清单:每完全满足一项评审标准得1分，满分3分；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备件支持保障方案.docx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针对本项目具有成熟应急预案体系。内容包含：①运维中可能发生的突然状况、②制定完整预案内容、③合理应急人员安排和完善应急流程。 二、评审标准 1.完整性：方案须全面，对评审内容中的各项要求有详细描述。 2.可实施性：切合本项目实际情况，实施步骤清晰、合理。 3.针对性：方案能够紧扣项目实际情况，内容科学合理。 三、赋分依据（满分6分） ①评估运维中可能发生的突然状况：每完全满足一个评审标准得0.5分，满分1.5分。 ②制定完整预案内容:每完全满足一个评审标准得1分，满分3分。 ③合理应急人员安排和完善应急流程：每完全满足一个评审标准得0.5分，满分1.5分。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业绩：提供供应商2022年1月1日至今类似项目合同（以合同签订日期为准），每提供1个计2分，满分12分。 备注：投标文件中需提供完整业绩合同复印件加盖公章。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根据项目实际需求提供售后服务方案。内容包含：①售后服务范围及服务保障措施、②故障处理响应时间安排计划、③响应方式、④故障处理及补救措施。 二、评审标准 1.完整性：方案须全面，对评审内容中的各项要求有详细描述。 2.可实施性：切合本项目实际情况，提出步骤清晰、合理的方案。 3.针对性：方案能够紧扣项目实际情况，内容科学合理。 三、赋分依据（满分6分） ①售后服务范围及服务保障措施：每完全满足一个评审标准得0.5分，满分1.5分。 ②故障处理响应时间安排计划：每完全满足一个评审标准得0.5分，满分1.5分。 ③响应方式：每完全满足一个评审标准得0.5分，满分1.5分； ④故障处理及补救措施：每完全满足一个评审标准得0.5分，满分1.5分。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针对本项目提供有利于本项目开展的其它承诺（①增值服务、②质量保证期限及质量保证的承诺、③承诺拟投入人员不可随意更换，接受采购人对服务的监督和批评，确保服务工作的正常进行），每提供一项承诺，得1分，满分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详见附件：人员保障方案.docx</w:t>
      </w:r>
    </w:p>
    <w:p>
      <w:pPr>
        <w:pStyle w:val="null3"/>
        <w:ind w:firstLine="960"/>
      </w:pPr>
      <w:r>
        <w:rPr>
          <w:rFonts w:ascii="仿宋_GB2312" w:hAnsi="仿宋_GB2312" w:cs="仿宋_GB2312" w:eastAsia="仿宋_GB2312"/>
        </w:rPr>
        <w:t>详见附件：备件支持保障方案.docx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详见附件：校园安全设施服务维保项目-西安铁路职业技术学院服务合同.docx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